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B71" w:rsidRDefault="00612B71" w:rsidP="00612B71">
      <w:pPr>
        <w:ind w:firstLine="360"/>
        <w:jc w:val="center"/>
        <w:rPr>
          <w:b/>
          <w:bCs/>
          <w:smallCaps/>
        </w:rPr>
      </w:pPr>
    </w:p>
    <w:tbl>
      <w:tblPr>
        <w:tblW w:w="0" w:type="auto"/>
        <w:tblInd w:w="8" w:type="dxa"/>
        <w:tblLayout w:type="fixed"/>
        <w:tblCellMar>
          <w:left w:w="0" w:type="dxa"/>
          <w:right w:w="0" w:type="dxa"/>
        </w:tblCellMar>
        <w:tblLook w:val="0000" w:firstRow="0" w:lastRow="0" w:firstColumn="0" w:lastColumn="0" w:noHBand="0" w:noVBand="0"/>
      </w:tblPr>
      <w:tblGrid>
        <w:gridCol w:w="1560"/>
        <w:gridCol w:w="7796"/>
      </w:tblGrid>
      <w:tr w:rsidR="00612B71" w:rsidTr="003A634B">
        <w:tblPrEx>
          <w:tblCellMar>
            <w:top w:w="0" w:type="dxa"/>
            <w:left w:w="0" w:type="dxa"/>
            <w:bottom w:w="0" w:type="dxa"/>
            <w:right w:w="0" w:type="dxa"/>
          </w:tblCellMar>
        </w:tblPrEx>
        <w:tc>
          <w:tcPr>
            <w:tcW w:w="1560" w:type="dxa"/>
          </w:tcPr>
          <w:bookmarkStart w:id="0" w:name="_MON_1065071720"/>
          <w:bookmarkStart w:id="1" w:name="_MON_1065071797"/>
          <w:bookmarkEnd w:id="0"/>
          <w:bookmarkEnd w:id="1"/>
          <w:p w:rsidR="00612B71" w:rsidRDefault="00612B71" w:rsidP="003A634B">
            <w:pPr>
              <w:ind w:left="-170"/>
              <w:rPr>
                <w:color w:val="000080"/>
              </w:rPr>
            </w:pPr>
            <w:r>
              <w:rPr>
                <w:color w:val="000080"/>
              </w:rPr>
              <w:object w:dxaOrig="1821" w:dyaOrig="1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5pt;height:77.15pt" o:ole="" fillcolor="window">
                  <v:imagedata r:id="rId7" o:title=""/>
                </v:shape>
                <o:OLEObject Type="Embed" ProgID="Word.Picture.8" ShapeID="_x0000_i1025" DrawAspect="Content" ObjectID="_1507116486" r:id="rId8"/>
              </w:object>
            </w:r>
          </w:p>
        </w:tc>
        <w:tc>
          <w:tcPr>
            <w:tcW w:w="7796" w:type="dxa"/>
          </w:tcPr>
          <w:p w:rsidR="00612B71" w:rsidRDefault="00612B71" w:rsidP="003A634B">
            <w:pPr>
              <w:ind w:left="-170"/>
              <w:jc w:val="center"/>
              <w:rPr>
                <w:smallCaps/>
                <w:color w:val="000080"/>
              </w:rPr>
            </w:pPr>
          </w:p>
          <w:p w:rsidR="00612B71" w:rsidRDefault="00612B71" w:rsidP="003A634B">
            <w:pPr>
              <w:ind w:left="-170"/>
              <w:jc w:val="center"/>
              <w:rPr>
                <w:smallCaps/>
                <w:color w:val="000080"/>
              </w:rPr>
            </w:pPr>
          </w:p>
          <w:p w:rsidR="00612B71" w:rsidRDefault="00612B71" w:rsidP="003A634B">
            <w:pPr>
              <w:ind w:left="-170"/>
              <w:jc w:val="center"/>
              <w:rPr>
                <w:color w:val="000080"/>
              </w:rPr>
            </w:pPr>
            <w:r>
              <w:rPr>
                <w:smallCaps/>
                <w:color w:val="000080"/>
                <w:sz w:val="28"/>
              </w:rPr>
              <w:t>Università Cattolica del Sacro Cuore</w:t>
            </w:r>
          </w:p>
          <w:p w:rsidR="00612B71" w:rsidRDefault="00612B71" w:rsidP="003A634B">
            <w:pPr>
              <w:ind w:left="-170"/>
              <w:jc w:val="center"/>
              <w:rPr>
                <w:smallCaps/>
                <w:color w:val="000080"/>
              </w:rPr>
            </w:pPr>
            <w:r>
              <w:rPr>
                <w:smallCaps/>
                <w:color w:val="000080"/>
              </w:rPr>
              <w:t>Centro Europeo di Diritto del lavoro e di Relazioni Industriali</w:t>
            </w:r>
          </w:p>
          <w:p w:rsidR="00612B71" w:rsidRDefault="00612B71" w:rsidP="003A634B">
            <w:pPr>
              <w:ind w:left="-170"/>
              <w:jc w:val="center"/>
              <w:rPr>
                <w:color w:val="000080"/>
                <w:sz w:val="32"/>
              </w:rPr>
            </w:pPr>
            <w:r>
              <w:rPr>
                <w:color w:val="000080"/>
                <w:sz w:val="22"/>
              </w:rPr>
              <w:t xml:space="preserve">20123 </w:t>
            </w:r>
            <w:r>
              <w:rPr>
                <w:smallCaps/>
                <w:color w:val="000080"/>
                <w:sz w:val="22"/>
              </w:rPr>
              <w:t xml:space="preserve">Milano – </w:t>
            </w:r>
            <w:proofErr w:type="spellStart"/>
            <w:r>
              <w:rPr>
                <w:smallCaps/>
                <w:color w:val="000080"/>
                <w:sz w:val="22"/>
              </w:rPr>
              <w:t>L.go</w:t>
            </w:r>
            <w:proofErr w:type="spellEnd"/>
            <w:r>
              <w:rPr>
                <w:smallCaps/>
                <w:color w:val="000080"/>
                <w:sz w:val="22"/>
              </w:rPr>
              <w:t xml:space="preserve"> Gemelli 1 - tel. 02.7234.2532 - fax  02.7234.2225</w:t>
            </w:r>
          </w:p>
        </w:tc>
      </w:tr>
    </w:tbl>
    <w:p w:rsidR="00612B71" w:rsidRDefault="00612B71" w:rsidP="00612B71">
      <w:pPr>
        <w:ind w:firstLine="360"/>
        <w:jc w:val="center"/>
        <w:rPr>
          <w:b/>
          <w:bCs/>
          <w:smallCaps/>
        </w:rPr>
      </w:pPr>
    </w:p>
    <w:p w:rsidR="00612B71" w:rsidRDefault="00612B71" w:rsidP="00612B71"/>
    <w:p w:rsidR="00612B71" w:rsidRDefault="00612B71" w:rsidP="00612B71"/>
    <w:p w:rsidR="00612B71" w:rsidRDefault="00612B71" w:rsidP="00612B71"/>
    <w:p w:rsidR="00612B71" w:rsidRDefault="00612B71" w:rsidP="00612B71">
      <w:r>
        <w:t>I QUADERNI DEL CEDRI</w:t>
      </w:r>
    </w:p>
    <w:p w:rsidR="00612B71" w:rsidRDefault="00612B71" w:rsidP="00612B71">
      <w:r>
        <w:t>N.2/2015</w:t>
      </w:r>
    </w:p>
    <w:p w:rsidR="00612B71" w:rsidRDefault="00612B71" w:rsidP="00612B71"/>
    <w:p w:rsidR="00612B71" w:rsidRDefault="00612B71" w:rsidP="00612B71"/>
    <w:p w:rsidR="00612B71" w:rsidRDefault="00612B71" w:rsidP="00612B71"/>
    <w:p w:rsidR="00612B71" w:rsidRDefault="00612B71" w:rsidP="00612B71"/>
    <w:p w:rsidR="00612B71" w:rsidRDefault="00612B71" w:rsidP="00612B71"/>
    <w:p w:rsidR="00612B71" w:rsidRDefault="00612B71" w:rsidP="00612B71"/>
    <w:p w:rsidR="00612B71" w:rsidRDefault="00612B71" w:rsidP="00612B71"/>
    <w:p w:rsidR="00612B71" w:rsidRDefault="00612B71" w:rsidP="00612B71"/>
    <w:p w:rsidR="00612B71" w:rsidRDefault="00612B71" w:rsidP="00612B71"/>
    <w:p w:rsidR="00612B71" w:rsidRDefault="00612B71" w:rsidP="00612B71"/>
    <w:p w:rsidR="00612B71" w:rsidRDefault="00612B71" w:rsidP="00612B71"/>
    <w:p w:rsidR="00612B71" w:rsidRDefault="00612B71" w:rsidP="00612B71"/>
    <w:p w:rsidR="00612B71" w:rsidRDefault="00612B71" w:rsidP="00612B71">
      <w:bookmarkStart w:id="2" w:name="_GoBack"/>
      <w:bookmarkEnd w:id="2"/>
    </w:p>
    <w:p w:rsidR="00612B71" w:rsidRDefault="00612B71" w:rsidP="00612B71"/>
    <w:p w:rsidR="00612B71" w:rsidRDefault="00612B71" w:rsidP="00612B71"/>
    <w:p w:rsidR="00612B71" w:rsidRDefault="00612B71" w:rsidP="00FB1745">
      <w:pPr>
        <w:autoSpaceDE w:val="0"/>
        <w:autoSpaceDN w:val="0"/>
        <w:adjustRightInd w:val="0"/>
        <w:ind w:right="424"/>
        <w:jc w:val="both"/>
        <w:rPr>
          <w:rFonts w:ascii="Garamond" w:hAnsi="Garamond"/>
          <w:b/>
          <w:sz w:val="26"/>
          <w:szCs w:val="26"/>
        </w:rPr>
      </w:pPr>
      <w:r>
        <w:rPr>
          <w:rFonts w:ascii="Garamond" w:hAnsi="Garamond"/>
          <w:b/>
          <w:sz w:val="26"/>
          <w:szCs w:val="26"/>
        </w:rPr>
        <w:t xml:space="preserve">Il lavoro etero-organizzato e la parabola della </w:t>
      </w:r>
      <w:proofErr w:type="spellStart"/>
      <w:r>
        <w:rPr>
          <w:rFonts w:ascii="Garamond" w:hAnsi="Garamond"/>
          <w:b/>
          <w:sz w:val="26"/>
          <w:szCs w:val="26"/>
        </w:rPr>
        <w:t>parasubordinazione</w:t>
      </w:r>
      <w:proofErr w:type="spellEnd"/>
    </w:p>
    <w:p w:rsidR="00612B71" w:rsidRDefault="003956E0" w:rsidP="00FB1745">
      <w:pPr>
        <w:autoSpaceDE w:val="0"/>
        <w:autoSpaceDN w:val="0"/>
        <w:adjustRightInd w:val="0"/>
        <w:ind w:right="424"/>
        <w:jc w:val="both"/>
        <w:rPr>
          <w:rFonts w:ascii="Garamond" w:hAnsi="Garamond"/>
          <w:b/>
          <w:sz w:val="26"/>
          <w:szCs w:val="26"/>
        </w:rPr>
      </w:pPr>
      <w:r w:rsidRPr="003956E0">
        <w:rPr>
          <w:rFonts w:ascii="Garamond" w:hAnsi="Garamond"/>
          <w:b/>
          <w:sz w:val="26"/>
          <w:szCs w:val="26"/>
        </w:rPr>
        <w:t>Vincenzo FERRANTE</w:t>
      </w:r>
    </w:p>
    <w:p w:rsidR="00612B71" w:rsidRDefault="00612B71">
      <w:pPr>
        <w:spacing w:after="200" w:line="276" w:lineRule="auto"/>
        <w:rPr>
          <w:rFonts w:ascii="Garamond" w:hAnsi="Garamond"/>
          <w:b/>
          <w:sz w:val="26"/>
          <w:szCs w:val="26"/>
        </w:rPr>
      </w:pPr>
      <w:r>
        <w:rPr>
          <w:rFonts w:ascii="Garamond" w:hAnsi="Garamond"/>
          <w:b/>
          <w:sz w:val="26"/>
          <w:szCs w:val="26"/>
        </w:rPr>
        <w:br w:type="page"/>
      </w:r>
    </w:p>
    <w:p w:rsidR="00DB1CB5" w:rsidRPr="003956E0" w:rsidRDefault="00DB1CB5" w:rsidP="00FB1745">
      <w:pPr>
        <w:autoSpaceDE w:val="0"/>
        <w:autoSpaceDN w:val="0"/>
        <w:adjustRightInd w:val="0"/>
        <w:ind w:right="424"/>
        <w:jc w:val="both"/>
        <w:rPr>
          <w:rFonts w:ascii="Garamond" w:hAnsi="Garamond"/>
          <w:b/>
          <w:sz w:val="26"/>
          <w:szCs w:val="26"/>
        </w:rPr>
      </w:pPr>
    </w:p>
    <w:p w:rsidR="003956E0" w:rsidRDefault="003956E0" w:rsidP="00DB1CB5">
      <w:pPr>
        <w:autoSpaceDE w:val="0"/>
        <w:autoSpaceDN w:val="0"/>
        <w:adjustRightInd w:val="0"/>
        <w:ind w:right="424" w:firstLine="709"/>
        <w:jc w:val="both"/>
        <w:rPr>
          <w:rFonts w:ascii="Garamond" w:hAnsi="Garamond"/>
          <w:b/>
          <w:sz w:val="26"/>
          <w:szCs w:val="26"/>
        </w:rPr>
      </w:pPr>
    </w:p>
    <w:p w:rsidR="0047381F" w:rsidRPr="00CB4C42" w:rsidRDefault="003956E0" w:rsidP="00DB1CB5">
      <w:pPr>
        <w:autoSpaceDE w:val="0"/>
        <w:autoSpaceDN w:val="0"/>
        <w:adjustRightInd w:val="0"/>
        <w:ind w:right="424" w:firstLine="709"/>
        <w:jc w:val="both"/>
        <w:rPr>
          <w:rFonts w:ascii="Garamond" w:hAnsi="Garamond"/>
          <w:sz w:val="25"/>
          <w:szCs w:val="25"/>
        </w:rPr>
      </w:pPr>
      <w:r w:rsidRPr="00CB4C42">
        <w:rPr>
          <w:rFonts w:ascii="Garamond" w:hAnsi="Garamond"/>
          <w:b/>
          <w:sz w:val="25"/>
          <w:szCs w:val="25"/>
        </w:rPr>
        <w:t>1.</w:t>
      </w:r>
      <w:r w:rsidRPr="00CB4C42">
        <w:rPr>
          <w:rFonts w:ascii="Garamond" w:hAnsi="Garamond"/>
          <w:sz w:val="25"/>
          <w:szCs w:val="25"/>
        </w:rPr>
        <w:t xml:space="preserve"> </w:t>
      </w:r>
      <w:r w:rsidR="00DB1CB5" w:rsidRPr="00CB4C42">
        <w:rPr>
          <w:rFonts w:ascii="Garamond" w:hAnsi="Garamond"/>
          <w:sz w:val="25"/>
          <w:szCs w:val="25"/>
        </w:rPr>
        <w:t xml:space="preserve">Il rapporto di collaborazione coordinata e continuativa, sviluppatosi nella prassi attraverso un riferimento all’art. 409 </w:t>
      </w:r>
      <w:proofErr w:type="spellStart"/>
      <w:r w:rsidR="00DB1CB5" w:rsidRPr="00CB4C42">
        <w:rPr>
          <w:rFonts w:ascii="Garamond" w:hAnsi="Garamond"/>
          <w:sz w:val="25"/>
          <w:szCs w:val="25"/>
        </w:rPr>
        <w:t>c.p.c.</w:t>
      </w:r>
      <w:proofErr w:type="spellEnd"/>
      <w:r w:rsidR="00DB1CB5" w:rsidRPr="00CB4C42">
        <w:rPr>
          <w:rFonts w:ascii="Garamond" w:hAnsi="Garamond"/>
          <w:sz w:val="25"/>
          <w:szCs w:val="25"/>
        </w:rPr>
        <w:t>, si caratterizza per una prestazione d’opera resa da un soggetto in assenza di organizzazione d’impresa (e dunque in modo “prevalentemente personale”) e che, a differenza del</w:t>
      </w:r>
      <w:r w:rsidR="005E7F33">
        <w:rPr>
          <w:rFonts w:ascii="Garamond" w:hAnsi="Garamond"/>
          <w:sz w:val="25"/>
          <w:szCs w:val="25"/>
        </w:rPr>
        <w:t>l’attività esercitata dal</w:t>
      </w:r>
      <w:r w:rsidR="006D631E" w:rsidRPr="00CB4C42">
        <w:rPr>
          <w:rFonts w:ascii="Garamond" w:hAnsi="Garamond"/>
          <w:sz w:val="25"/>
          <w:szCs w:val="25"/>
        </w:rPr>
        <w:t xml:space="preserve"> libero professionista</w:t>
      </w:r>
      <w:r w:rsidR="00DB1CB5" w:rsidRPr="00CB4C42">
        <w:rPr>
          <w:rFonts w:ascii="Garamond" w:hAnsi="Garamond"/>
          <w:sz w:val="25"/>
          <w:szCs w:val="25"/>
        </w:rPr>
        <w:t>, può essere richiesta anche da un solo committente, affinché sia stabilmente inserita nell’ambito del proprio ciclo produttivo (coordinamento), in misura tale da costituire la fonte di reddito pressoché esclusiva del lavoratore (</w:t>
      </w:r>
      <w:proofErr w:type="spellStart"/>
      <w:r w:rsidR="00DB1CB5" w:rsidRPr="00CB4C42">
        <w:rPr>
          <w:rFonts w:ascii="Garamond" w:hAnsi="Garamond"/>
          <w:sz w:val="25"/>
          <w:szCs w:val="25"/>
        </w:rPr>
        <w:t>continuatività</w:t>
      </w:r>
      <w:proofErr w:type="spellEnd"/>
      <w:r w:rsidR="00DB1CB5" w:rsidRPr="00CB4C42">
        <w:rPr>
          <w:rFonts w:ascii="Garamond" w:hAnsi="Garamond"/>
          <w:sz w:val="25"/>
          <w:szCs w:val="25"/>
        </w:rPr>
        <w:t>). Rispetto al lavoro subordinato, la fattispecie in esame si caratterizza per la mancanza di un controllo della controparte sull’esecuzione della prestazione lavorativa</w:t>
      </w:r>
      <w:r w:rsidR="0047381F" w:rsidRPr="00CB4C42">
        <w:rPr>
          <w:rFonts w:ascii="Garamond" w:hAnsi="Garamond"/>
          <w:sz w:val="25"/>
          <w:szCs w:val="25"/>
        </w:rPr>
        <w:t>, che si realizza invece quando il prestatore operi alle dipendenze e sotto la direzione del datore</w:t>
      </w:r>
      <w:r w:rsidR="00DB1CB5" w:rsidRPr="00CB4C42">
        <w:rPr>
          <w:rFonts w:ascii="Garamond" w:hAnsi="Garamond"/>
          <w:sz w:val="25"/>
          <w:szCs w:val="25"/>
        </w:rPr>
        <w:t>.</w:t>
      </w:r>
    </w:p>
    <w:p w:rsidR="0047381F" w:rsidRPr="00CB4C42" w:rsidRDefault="0047381F" w:rsidP="00DB1CB5">
      <w:pPr>
        <w:autoSpaceDE w:val="0"/>
        <w:autoSpaceDN w:val="0"/>
        <w:adjustRightInd w:val="0"/>
        <w:ind w:right="424" w:firstLine="709"/>
        <w:jc w:val="both"/>
        <w:rPr>
          <w:rFonts w:ascii="Garamond" w:hAnsi="Garamond"/>
          <w:sz w:val="25"/>
          <w:szCs w:val="25"/>
        </w:rPr>
      </w:pPr>
      <w:r w:rsidRPr="00CB4C42">
        <w:rPr>
          <w:rFonts w:ascii="Garamond" w:hAnsi="Garamond"/>
          <w:sz w:val="25"/>
          <w:szCs w:val="25"/>
        </w:rPr>
        <w:t xml:space="preserve">Deve essere chiaro che l’art. 409 </w:t>
      </w:r>
      <w:proofErr w:type="spellStart"/>
      <w:r w:rsidR="006D631E" w:rsidRPr="00CB4C42">
        <w:rPr>
          <w:rFonts w:ascii="Garamond" w:hAnsi="Garamond"/>
          <w:sz w:val="25"/>
          <w:szCs w:val="25"/>
        </w:rPr>
        <w:t>c.p.c.</w:t>
      </w:r>
      <w:proofErr w:type="spellEnd"/>
      <w:r w:rsidR="006D631E" w:rsidRPr="00CB4C42">
        <w:rPr>
          <w:rFonts w:ascii="Garamond" w:hAnsi="Garamond"/>
          <w:sz w:val="25"/>
          <w:szCs w:val="25"/>
        </w:rPr>
        <w:t xml:space="preserve"> </w:t>
      </w:r>
      <w:r w:rsidRPr="00CB4C42">
        <w:rPr>
          <w:rFonts w:ascii="Garamond" w:hAnsi="Garamond"/>
          <w:sz w:val="25"/>
          <w:szCs w:val="25"/>
        </w:rPr>
        <w:t>non intende tipizzare alcuna fattispecie sostanziale, ma piuttosto intende delimitare l’ambito di competenza del Giudice del lavoro in maniera più ampia rispetto alle fattispecie codificate</w:t>
      </w:r>
      <w:r w:rsidR="005E7F33">
        <w:rPr>
          <w:rFonts w:ascii="Garamond" w:hAnsi="Garamond"/>
          <w:sz w:val="25"/>
          <w:szCs w:val="25"/>
        </w:rPr>
        <w:t xml:space="preserve"> e pure espressamente richiamate dalla norma</w:t>
      </w:r>
      <w:r w:rsidRPr="00CB4C42">
        <w:rPr>
          <w:rFonts w:ascii="Garamond" w:hAnsi="Garamond"/>
          <w:sz w:val="25"/>
          <w:szCs w:val="25"/>
        </w:rPr>
        <w:t xml:space="preserve">, al fine di evitare </w:t>
      </w:r>
      <w:r w:rsidR="006D631E" w:rsidRPr="00CB4C42">
        <w:rPr>
          <w:rFonts w:ascii="Garamond" w:hAnsi="Garamond"/>
          <w:sz w:val="25"/>
          <w:szCs w:val="25"/>
        </w:rPr>
        <w:t xml:space="preserve">(non potendosi </w:t>
      </w:r>
      <w:r w:rsidR="005E7F33">
        <w:rPr>
          <w:rFonts w:ascii="Garamond" w:hAnsi="Garamond"/>
          <w:sz w:val="25"/>
          <w:szCs w:val="25"/>
        </w:rPr>
        <w:t>utilizzare una sorta di “</w:t>
      </w:r>
      <w:r w:rsidR="006D631E" w:rsidRPr="00CB4C42">
        <w:rPr>
          <w:rFonts w:ascii="Garamond" w:hAnsi="Garamond"/>
          <w:sz w:val="25"/>
          <w:szCs w:val="25"/>
        </w:rPr>
        <w:t xml:space="preserve">criterio del </w:t>
      </w:r>
      <w:proofErr w:type="spellStart"/>
      <w:r w:rsidR="006D631E" w:rsidRPr="00CB4C42">
        <w:rPr>
          <w:rFonts w:ascii="Garamond" w:hAnsi="Garamond"/>
          <w:i/>
          <w:sz w:val="25"/>
          <w:szCs w:val="25"/>
        </w:rPr>
        <w:t>petitum</w:t>
      </w:r>
      <w:proofErr w:type="spellEnd"/>
      <w:r w:rsidR="005E7F33" w:rsidRPr="005E7F33">
        <w:rPr>
          <w:rFonts w:ascii="Garamond" w:hAnsi="Garamond"/>
          <w:sz w:val="25"/>
          <w:szCs w:val="25"/>
        </w:rPr>
        <w:t>”</w:t>
      </w:r>
      <w:r w:rsidR="006D631E" w:rsidRPr="00CB4C42">
        <w:rPr>
          <w:rFonts w:ascii="Garamond" w:hAnsi="Garamond"/>
          <w:sz w:val="25"/>
          <w:szCs w:val="25"/>
        </w:rPr>
        <w:t xml:space="preserve">) </w:t>
      </w:r>
      <w:r w:rsidRPr="00CB4C42">
        <w:rPr>
          <w:rFonts w:ascii="Garamond" w:hAnsi="Garamond"/>
          <w:sz w:val="25"/>
          <w:szCs w:val="25"/>
        </w:rPr>
        <w:t>che questi, all’esito dell’accertamento istruttorio, finisca poi con una pronunzia declinatoria della propria competenza, ritenendo insussistente un rapporto sussumibile nella fattispecie di cui all’art. 2094 c.c.</w:t>
      </w:r>
      <w:r w:rsidR="006D631E" w:rsidRPr="00CB4C42">
        <w:rPr>
          <w:rFonts w:ascii="Garamond" w:hAnsi="Garamond"/>
          <w:sz w:val="25"/>
          <w:szCs w:val="25"/>
        </w:rPr>
        <w:t xml:space="preserve"> </w:t>
      </w:r>
      <w:r w:rsidRPr="00CB4C42">
        <w:rPr>
          <w:rFonts w:ascii="Garamond" w:hAnsi="Garamond"/>
          <w:sz w:val="25"/>
          <w:szCs w:val="25"/>
        </w:rPr>
        <w:t>Ovviamente</w:t>
      </w:r>
      <w:r w:rsidR="005E7F33">
        <w:rPr>
          <w:rFonts w:ascii="Garamond" w:hAnsi="Garamond"/>
          <w:sz w:val="25"/>
          <w:szCs w:val="25"/>
        </w:rPr>
        <w:t>,</w:t>
      </w:r>
      <w:r w:rsidRPr="00CB4C42">
        <w:rPr>
          <w:rFonts w:ascii="Garamond" w:hAnsi="Garamond"/>
          <w:sz w:val="25"/>
          <w:szCs w:val="25"/>
        </w:rPr>
        <w:t xml:space="preserve"> la definizione del codice di rito non impedisce che l’ipotesi visualizzata dal legislatore possa acquisire una </w:t>
      </w:r>
      <w:r w:rsidR="005E7F33">
        <w:rPr>
          <w:rFonts w:ascii="Garamond" w:hAnsi="Garamond"/>
          <w:sz w:val="25"/>
          <w:szCs w:val="25"/>
        </w:rPr>
        <w:t xml:space="preserve">propria </w:t>
      </w:r>
      <w:r w:rsidRPr="00CB4C42">
        <w:rPr>
          <w:rFonts w:ascii="Garamond" w:hAnsi="Garamond"/>
          <w:sz w:val="25"/>
          <w:szCs w:val="25"/>
        </w:rPr>
        <w:t xml:space="preserve">rilevanza sostanziale, ma essa non può che </w:t>
      </w:r>
      <w:r w:rsidR="005E7F33">
        <w:rPr>
          <w:rFonts w:ascii="Garamond" w:hAnsi="Garamond"/>
          <w:sz w:val="25"/>
          <w:szCs w:val="25"/>
        </w:rPr>
        <w:t>colloca</w:t>
      </w:r>
      <w:r w:rsidRPr="00CB4C42">
        <w:rPr>
          <w:rFonts w:ascii="Garamond" w:hAnsi="Garamond"/>
          <w:sz w:val="25"/>
          <w:szCs w:val="25"/>
        </w:rPr>
        <w:t xml:space="preserve">rsi </w:t>
      </w:r>
      <w:r w:rsidR="005E7F33">
        <w:rPr>
          <w:rFonts w:ascii="Garamond" w:hAnsi="Garamond"/>
          <w:sz w:val="25"/>
          <w:szCs w:val="25"/>
        </w:rPr>
        <w:t xml:space="preserve">all’interno del vasto perimetro del </w:t>
      </w:r>
      <w:r w:rsidRPr="00CB4C42">
        <w:rPr>
          <w:rFonts w:ascii="Garamond" w:hAnsi="Garamond"/>
          <w:sz w:val="25"/>
          <w:szCs w:val="25"/>
        </w:rPr>
        <w:t xml:space="preserve">lavoro autonomo, costituendo un sottotipo </w:t>
      </w:r>
      <w:r w:rsidR="005E7F33">
        <w:rPr>
          <w:rFonts w:ascii="Garamond" w:hAnsi="Garamond"/>
          <w:sz w:val="25"/>
          <w:szCs w:val="25"/>
        </w:rPr>
        <w:t>definito in via di tipizzazione sociale, in evidente contrapposizione alla nozione di subordinazione</w:t>
      </w:r>
      <w:r w:rsidRPr="00CB4C42">
        <w:rPr>
          <w:rFonts w:ascii="Garamond" w:hAnsi="Garamond"/>
          <w:sz w:val="25"/>
          <w:szCs w:val="25"/>
        </w:rPr>
        <w:t>.</w:t>
      </w:r>
    </w:p>
    <w:p w:rsidR="00DB1CB5" w:rsidRPr="00CB4C42" w:rsidRDefault="005E7F33" w:rsidP="00DB1CB5">
      <w:pPr>
        <w:autoSpaceDE w:val="0"/>
        <w:autoSpaceDN w:val="0"/>
        <w:adjustRightInd w:val="0"/>
        <w:ind w:right="424" w:firstLine="709"/>
        <w:jc w:val="both"/>
        <w:rPr>
          <w:rFonts w:ascii="Garamond" w:hAnsi="Garamond"/>
          <w:sz w:val="25"/>
          <w:szCs w:val="25"/>
        </w:rPr>
      </w:pPr>
      <w:r>
        <w:rPr>
          <w:rFonts w:ascii="Garamond" w:hAnsi="Garamond"/>
          <w:sz w:val="25"/>
          <w:szCs w:val="25"/>
        </w:rPr>
        <w:t>Il ricorso</w:t>
      </w:r>
      <w:r w:rsidR="0047381F" w:rsidRPr="00CB4C42">
        <w:rPr>
          <w:rFonts w:ascii="Garamond" w:hAnsi="Garamond"/>
          <w:sz w:val="25"/>
          <w:szCs w:val="25"/>
        </w:rPr>
        <w:t xml:space="preserve"> </w:t>
      </w:r>
      <w:r>
        <w:rPr>
          <w:rFonts w:ascii="Garamond" w:hAnsi="Garamond"/>
          <w:sz w:val="25"/>
          <w:szCs w:val="25"/>
        </w:rPr>
        <w:t>a</w:t>
      </w:r>
      <w:r w:rsidR="0047381F" w:rsidRPr="00CB4C42">
        <w:rPr>
          <w:rFonts w:ascii="Garamond" w:hAnsi="Garamond"/>
          <w:sz w:val="25"/>
          <w:szCs w:val="25"/>
        </w:rPr>
        <w:t>lle collaborazioni coordinate e continuative appariva</w:t>
      </w:r>
      <w:r w:rsidR="00DB1CB5" w:rsidRPr="00CB4C42">
        <w:rPr>
          <w:rFonts w:ascii="Garamond" w:hAnsi="Garamond"/>
          <w:sz w:val="25"/>
          <w:szCs w:val="25"/>
        </w:rPr>
        <w:t xml:space="preserve"> alquanto appetibile per l’imprenditore se confrontata con l’ordinario rapporto di lavoro subordinato, posto che, a parità di durata della prestazione, non sussisteva alcun obbligo contributivo, né al lavoratore venivano riconosciute le garanzie conseguenti alla qualificazione del rapporto in termini di lavoro subordinato (in ordine ad es. al rispetto dei minimi di contratto collettivo, al pagamento delle ferie, alle voci di retribuzione indiretta e differita, al riconoscimento dei diritti sindacali).</w:t>
      </w:r>
      <w:r w:rsidR="006D631E" w:rsidRPr="00CB4C42">
        <w:rPr>
          <w:rFonts w:ascii="Garamond" w:hAnsi="Garamond"/>
          <w:sz w:val="25"/>
          <w:szCs w:val="25"/>
        </w:rPr>
        <w:t xml:space="preserve"> Elementi questi che confermano vieppiù l’idea di trovarsi innanzi ad un sottotipo, posta l’analogia di effetti prodotti rispetto al lavoro autonomo.</w:t>
      </w:r>
    </w:p>
    <w:p w:rsidR="00304E7F" w:rsidRPr="00CB4C42" w:rsidRDefault="00304E7F" w:rsidP="00DB1CB5">
      <w:pPr>
        <w:autoSpaceDE w:val="0"/>
        <w:autoSpaceDN w:val="0"/>
        <w:adjustRightInd w:val="0"/>
        <w:ind w:right="424" w:firstLine="709"/>
        <w:jc w:val="both"/>
        <w:rPr>
          <w:rFonts w:ascii="Garamond" w:hAnsi="Garamond"/>
          <w:sz w:val="25"/>
          <w:szCs w:val="25"/>
        </w:rPr>
      </w:pPr>
    </w:p>
    <w:p w:rsidR="00DB1CB5" w:rsidRPr="00CB4C42" w:rsidRDefault="00304E7F" w:rsidP="00DB1CB5">
      <w:pPr>
        <w:autoSpaceDE w:val="0"/>
        <w:autoSpaceDN w:val="0"/>
        <w:adjustRightInd w:val="0"/>
        <w:ind w:right="424" w:firstLine="709"/>
        <w:jc w:val="both"/>
        <w:rPr>
          <w:rFonts w:ascii="Garamond" w:hAnsi="Garamond"/>
          <w:sz w:val="25"/>
          <w:szCs w:val="25"/>
        </w:rPr>
      </w:pPr>
      <w:r w:rsidRPr="00CB4C42">
        <w:rPr>
          <w:rFonts w:ascii="Garamond" w:hAnsi="Garamond"/>
          <w:b/>
          <w:sz w:val="25"/>
          <w:szCs w:val="25"/>
        </w:rPr>
        <w:t xml:space="preserve">2. </w:t>
      </w:r>
      <w:r w:rsidR="00DB1CB5" w:rsidRPr="00CB4C42">
        <w:rPr>
          <w:rFonts w:ascii="Garamond" w:hAnsi="Garamond"/>
          <w:sz w:val="25"/>
          <w:szCs w:val="25"/>
        </w:rPr>
        <w:t xml:space="preserve">La c.d. riforma Biagi (d. </w:t>
      </w:r>
      <w:proofErr w:type="spellStart"/>
      <w:r w:rsidR="00DB1CB5" w:rsidRPr="00CB4C42">
        <w:rPr>
          <w:rFonts w:ascii="Garamond" w:hAnsi="Garamond"/>
          <w:sz w:val="25"/>
          <w:szCs w:val="25"/>
        </w:rPr>
        <w:t>lgs</w:t>
      </w:r>
      <w:proofErr w:type="spellEnd"/>
      <w:r w:rsidR="00DB1CB5" w:rsidRPr="00CB4C42">
        <w:rPr>
          <w:rFonts w:ascii="Garamond" w:hAnsi="Garamond"/>
          <w:sz w:val="25"/>
          <w:szCs w:val="25"/>
        </w:rPr>
        <w:t>. 10 settembre 2003, n. 276) ha inteso ridurre il n</w:t>
      </w:r>
      <w:r w:rsidR="005E7F33">
        <w:rPr>
          <w:rFonts w:ascii="Garamond" w:hAnsi="Garamond"/>
          <w:sz w:val="25"/>
          <w:szCs w:val="25"/>
        </w:rPr>
        <w:t>um</w:t>
      </w:r>
      <w:r w:rsidR="00DB1CB5" w:rsidRPr="00CB4C42">
        <w:rPr>
          <w:rFonts w:ascii="Garamond" w:hAnsi="Garamond"/>
          <w:sz w:val="25"/>
          <w:szCs w:val="25"/>
        </w:rPr>
        <w:t xml:space="preserve">ero delle collaborazioni, anche in considerazione delle frequenti controversie avanti al giudice ordinario per la qualificazione del rapporto. Si è pertanto previsto che i rapporti di collaborazione in atto </w:t>
      </w:r>
      <w:r w:rsidR="005E7F33">
        <w:rPr>
          <w:rFonts w:ascii="Garamond" w:hAnsi="Garamond"/>
          <w:sz w:val="25"/>
          <w:szCs w:val="25"/>
        </w:rPr>
        <w:t>al momento dell’entrata in vigore della legge fosser</w:t>
      </w:r>
      <w:r w:rsidR="00DB1CB5" w:rsidRPr="00CB4C42">
        <w:rPr>
          <w:rFonts w:ascii="Garamond" w:hAnsi="Garamond"/>
          <w:sz w:val="25"/>
          <w:szCs w:val="25"/>
        </w:rPr>
        <w:t xml:space="preserve">o ricondotti allo schema del c.d. lavoro </w:t>
      </w:r>
      <w:r w:rsidR="005E7F33">
        <w:rPr>
          <w:rFonts w:ascii="Garamond" w:hAnsi="Garamond"/>
          <w:sz w:val="25"/>
          <w:szCs w:val="25"/>
        </w:rPr>
        <w:t>“</w:t>
      </w:r>
      <w:r w:rsidR="00DB1CB5" w:rsidRPr="00CB4C42">
        <w:rPr>
          <w:rFonts w:ascii="Garamond" w:hAnsi="Garamond"/>
          <w:sz w:val="25"/>
          <w:szCs w:val="25"/>
        </w:rPr>
        <w:t>a progetto</w:t>
      </w:r>
      <w:r w:rsidR="005E7F33">
        <w:rPr>
          <w:rFonts w:ascii="Garamond" w:hAnsi="Garamond"/>
          <w:sz w:val="25"/>
          <w:szCs w:val="25"/>
        </w:rPr>
        <w:t>”</w:t>
      </w:r>
      <w:r w:rsidR="00DB1CB5" w:rsidRPr="00CB4C42">
        <w:rPr>
          <w:rFonts w:ascii="Garamond" w:hAnsi="Garamond"/>
          <w:sz w:val="25"/>
          <w:szCs w:val="25"/>
        </w:rPr>
        <w:t xml:space="preserve"> (</w:t>
      </w:r>
      <w:proofErr w:type="spellStart"/>
      <w:r w:rsidR="005E7F33">
        <w:rPr>
          <w:rFonts w:ascii="Garamond" w:hAnsi="Garamond"/>
          <w:sz w:val="25"/>
          <w:szCs w:val="25"/>
        </w:rPr>
        <w:t>abrog</w:t>
      </w:r>
      <w:proofErr w:type="spellEnd"/>
      <w:r w:rsidR="005E7F33">
        <w:rPr>
          <w:rFonts w:ascii="Garamond" w:hAnsi="Garamond"/>
          <w:sz w:val="25"/>
          <w:szCs w:val="25"/>
        </w:rPr>
        <w:t xml:space="preserve">. </w:t>
      </w:r>
      <w:r w:rsidR="00DB1CB5" w:rsidRPr="00CB4C42">
        <w:rPr>
          <w:rFonts w:ascii="Garamond" w:hAnsi="Garamond"/>
          <w:sz w:val="25"/>
          <w:szCs w:val="25"/>
        </w:rPr>
        <w:t xml:space="preserve">art. 61 ss. d. </w:t>
      </w:r>
      <w:proofErr w:type="spellStart"/>
      <w:r w:rsidR="00DB1CB5" w:rsidRPr="00CB4C42">
        <w:rPr>
          <w:rFonts w:ascii="Garamond" w:hAnsi="Garamond"/>
          <w:sz w:val="25"/>
          <w:szCs w:val="25"/>
        </w:rPr>
        <w:t>lgs</w:t>
      </w:r>
      <w:proofErr w:type="spellEnd"/>
      <w:r w:rsidR="00DB1CB5" w:rsidRPr="00CB4C42">
        <w:rPr>
          <w:rFonts w:ascii="Garamond" w:hAnsi="Garamond"/>
          <w:sz w:val="25"/>
          <w:szCs w:val="25"/>
        </w:rPr>
        <w:t xml:space="preserve">. cit.): rapporto contrattuale con il quale il lavoratore assume stabilmente l’incarico di eseguire </w:t>
      </w:r>
      <w:r w:rsidR="005E7F33">
        <w:rPr>
          <w:rFonts w:ascii="Garamond" w:hAnsi="Garamond"/>
          <w:sz w:val="25"/>
          <w:szCs w:val="25"/>
        </w:rPr>
        <w:t xml:space="preserve">(in buona sostanza) </w:t>
      </w:r>
      <w:r w:rsidR="00DB1CB5" w:rsidRPr="00CB4C42">
        <w:rPr>
          <w:rFonts w:ascii="Garamond" w:hAnsi="Garamond"/>
          <w:sz w:val="25"/>
          <w:szCs w:val="25"/>
        </w:rPr>
        <w:t>un</w:t>
      </w:r>
      <w:r w:rsidR="005E7F33">
        <w:rPr>
          <w:rFonts w:ascii="Garamond" w:hAnsi="Garamond"/>
          <w:sz w:val="25"/>
          <w:szCs w:val="25"/>
        </w:rPr>
        <w:t>’opera</w:t>
      </w:r>
      <w:r w:rsidR="00DB1CB5" w:rsidRPr="00CB4C42">
        <w:rPr>
          <w:rFonts w:ascii="Garamond" w:hAnsi="Garamond"/>
          <w:sz w:val="25"/>
          <w:szCs w:val="25"/>
        </w:rPr>
        <w:t xml:space="preserve"> concordando con il committente le modalità di esecuzione, durata e tempi di corresponsione del compenso. La riforma prevedeva, al contempo, un </w:t>
      </w:r>
      <w:r w:rsidR="006D631E" w:rsidRPr="00CB4C42">
        <w:rPr>
          <w:rFonts w:ascii="Garamond" w:hAnsi="Garamond"/>
          <w:sz w:val="25"/>
          <w:szCs w:val="25"/>
        </w:rPr>
        <w:t xml:space="preserve">espresso </w:t>
      </w:r>
      <w:r w:rsidR="00DB1CB5" w:rsidRPr="00CB4C42">
        <w:rPr>
          <w:rFonts w:ascii="Garamond" w:hAnsi="Garamond"/>
          <w:sz w:val="25"/>
          <w:szCs w:val="25"/>
        </w:rPr>
        <w:t>divieto di stipulare nuovi contratti di collaborazione coordinata e continuativa, qualora il nuovo rapporto</w:t>
      </w:r>
      <w:r w:rsidR="005E7F33">
        <w:rPr>
          <w:rFonts w:ascii="Garamond" w:hAnsi="Garamond"/>
          <w:sz w:val="25"/>
          <w:szCs w:val="25"/>
        </w:rPr>
        <w:t xml:space="preserve"> </w:t>
      </w:r>
      <w:r w:rsidR="00DB1CB5" w:rsidRPr="00CB4C42">
        <w:rPr>
          <w:rFonts w:ascii="Garamond" w:hAnsi="Garamond"/>
          <w:sz w:val="25"/>
          <w:szCs w:val="25"/>
        </w:rPr>
        <w:t xml:space="preserve">non potesse essere ricondotto alla fattispecie del lavoro a progetto; in questi ultimi casi si </w:t>
      </w:r>
      <w:r w:rsidR="005E7F33">
        <w:rPr>
          <w:rFonts w:ascii="Garamond" w:hAnsi="Garamond"/>
          <w:sz w:val="25"/>
          <w:szCs w:val="25"/>
        </w:rPr>
        <w:t>era</w:t>
      </w:r>
      <w:r w:rsidR="00DB1CB5" w:rsidRPr="00CB4C42">
        <w:rPr>
          <w:rFonts w:ascii="Garamond" w:hAnsi="Garamond"/>
          <w:sz w:val="25"/>
          <w:szCs w:val="25"/>
        </w:rPr>
        <w:t xml:space="preserve"> stabilita una presunzione legale (dalla portata peraltro non pienamente definita) a favore della qualificazione del rapporto nei termini del lavoro subordinato (</w:t>
      </w:r>
      <w:proofErr w:type="spellStart"/>
      <w:r w:rsidR="005E7F33">
        <w:rPr>
          <w:rFonts w:ascii="Garamond" w:hAnsi="Garamond"/>
          <w:sz w:val="25"/>
          <w:szCs w:val="25"/>
        </w:rPr>
        <w:t>abrog.</w:t>
      </w:r>
      <w:r w:rsidR="00DB1CB5" w:rsidRPr="00CB4C42">
        <w:rPr>
          <w:rFonts w:ascii="Garamond" w:hAnsi="Garamond"/>
          <w:sz w:val="25"/>
          <w:szCs w:val="25"/>
        </w:rPr>
        <w:t>art</w:t>
      </w:r>
      <w:proofErr w:type="spellEnd"/>
      <w:r w:rsidR="00DB1CB5" w:rsidRPr="00CB4C42">
        <w:rPr>
          <w:rFonts w:ascii="Garamond" w:hAnsi="Garamond"/>
          <w:sz w:val="25"/>
          <w:szCs w:val="25"/>
        </w:rPr>
        <w:t xml:space="preserve">. 69 d. </w:t>
      </w:r>
      <w:proofErr w:type="spellStart"/>
      <w:r w:rsidR="00DB1CB5" w:rsidRPr="00CB4C42">
        <w:rPr>
          <w:rFonts w:ascii="Garamond" w:hAnsi="Garamond"/>
          <w:sz w:val="25"/>
          <w:szCs w:val="25"/>
        </w:rPr>
        <w:t>lgs</w:t>
      </w:r>
      <w:proofErr w:type="spellEnd"/>
      <w:r w:rsidR="00DB1CB5" w:rsidRPr="00CB4C42">
        <w:rPr>
          <w:rFonts w:ascii="Garamond" w:hAnsi="Garamond"/>
          <w:sz w:val="25"/>
          <w:szCs w:val="25"/>
        </w:rPr>
        <w:t xml:space="preserve">. cit.). </w:t>
      </w:r>
    </w:p>
    <w:p w:rsidR="00DB1CB5" w:rsidRPr="00CB4C42" w:rsidRDefault="00DB1CB5" w:rsidP="00DB1CB5">
      <w:pPr>
        <w:autoSpaceDE w:val="0"/>
        <w:autoSpaceDN w:val="0"/>
        <w:adjustRightInd w:val="0"/>
        <w:ind w:right="424" w:firstLine="709"/>
        <w:jc w:val="both"/>
        <w:rPr>
          <w:rFonts w:ascii="Garamond" w:hAnsi="Garamond"/>
          <w:sz w:val="25"/>
          <w:szCs w:val="25"/>
        </w:rPr>
      </w:pPr>
      <w:r w:rsidRPr="00CB4C42">
        <w:rPr>
          <w:rFonts w:ascii="Garamond" w:hAnsi="Garamond"/>
          <w:sz w:val="25"/>
          <w:szCs w:val="25"/>
        </w:rPr>
        <w:t>Dalla disciplina ora illustrata resta</w:t>
      </w:r>
      <w:r w:rsidR="005E7F33">
        <w:rPr>
          <w:rFonts w:ascii="Garamond" w:hAnsi="Garamond"/>
          <w:sz w:val="25"/>
          <w:szCs w:val="25"/>
        </w:rPr>
        <w:t>va</w:t>
      </w:r>
      <w:r w:rsidRPr="00CB4C42">
        <w:rPr>
          <w:rFonts w:ascii="Garamond" w:hAnsi="Garamond"/>
          <w:sz w:val="25"/>
          <w:szCs w:val="25"/>
        </w:rPr>
        <w:t>no esclus</w:t>
      </w:r>
      <w:r w:rsidR="005E7F33">
        <w:rPr>
          <w:rFonts w:ascii="Garamond" w:hAnsi="Garamond"/>
          <w:sz w:val="25"/>
          <w:szCs w:val="25"/>
        </w:rPr>
        <w:t>e</w:t>
      </w:r>
      <w:r w:rsidRPr="00CB4C42">
        <w:rPr>
          <w:rFonts w:ascii="Garamond" w:hAnsi="Garamond"/>
          <w:sz w:val="25"/>
          <w:szCs w:val="25"/>
        </w:rPr>
        <w:t xml:space="preserve"> varie ipotesi, tra le quali gli agenti e i rappresentanti di commercio, le professioni intellettuali per le quali è necessaria l’iscrizione in appositi albi professionali, i rapporti instaurati con associazioni e società sportive dilettantistiche, l’attività dei componenti degli organi di amministrazione e controllo delle società, o dei partecipanti a collegi e commissioni (</w:t>
      </w:r>
      <w:proofErr w:type="spellStart"/>
      <w:r w:rsidR="005E7F33">
        <w:rPr>
          <w:rFonts w:ascii="Garamond" w:hAnsi="Garamond"/>
          <w:sz w:val="25"/>
          <w:szCs w:val="25"/>
        </w:rPr>
        <w:t>abrog</w:t>
      </w:r>
      <w:proofErr w:type="spellEnd"/>
      <w:r w:rsidR="005E7F33">
        <w:rPr>
          <w:rFonts w:ascii="Garamond" w:hAnsi="Garamond"/>
          <w:sz w:val="25"/>
          <w:szCs w:val="25"/>
        </w:rPr>
        <w:t xml:space="preserve">. </w:t>
      </w:r>
      <w:r w:rsidRPr="00CB4C42">
        <w:rPr>
          <w:rFonts w:ascii="Garamond" w:hAnsi="Garamond"/>
          <w:sz w:val="25"/>
          <w:szCs w:val="25"/>
        </w:rPr>
        <w:t xml:space="preserve">art. 61, co. 3 d. </w:t>
      </w:r>
      <w:proofErr w:type="spellStart"/>
      <w:r w:rsidRPr="00CB4C42">
        <w:rPr>
          <w:rFonts w:ascii="Garamond" w:hAnsi="Garamond"/>
          <w:sz w:val="25"/>
          <w:szCs w:val="25"/>
        </w:rPr>
        <w:t>lgs</w:t>
      </w:r>
      <w:proofErr w:type="spellEnd"/>
      <w:r w:rsidRPr="00CB4C42">
        <w:rPr>
          <w:rFonts w:ascii="Garamond" w:hAnsi="Garamond"/>
          <w:sz w:val="25"/>
          <w:szCs w:val="25"/>
        </w:rPr>
        <w:t>. cit.); continua</w:t>
      </w:r>
      <w:r w:rsidR="0047381F" w:rsidRPr="00CB4C42">
        <w:rPr>
          <w:rFonts w:ascii="Garamond" w:hAnsi="Garamond"/>
          <w:sz w:val="25"/>
          <w:szCs w:val="25"/>
        </w:rPr>
        <w:t>va</w:t>
      </w:r>
      <w:r w:rsidRPr="00CB4C42">
        <w:rPr>
          <w:rFonts w:ascii="Garamond" w:hAnsi="Garamond"/>
          <w:sz w:val="25"/>
          <w:szCs w:val="25"/>
        </w:rPr>
        <w:t xml:space="preserve"> altresì ad essere legittima la stipula di collaborazioni coordinate e continuative anche per tutti </w:t>
      </w:r>
      <w:r w:rsidRPr="00CB4C42">
        <w:rPr>
          <w:rFonts w:ascii="Garamond" w:hAnsi="Garamond"/>
          <w:sz w:val="25"/>
          <w:szCs w:val="25"/>
        </w:rPr>
        <w:lastRenderedPageBreak/>
        <w:t>coloro che percepi</w:t>
      </w:r>
      <w:r w:rsidR="0047381F" w:rsidRPr="00CB4C42">
        <w:rPr>
          <w:rFonts w:ascii="Garamond" w:hAnsi="Garamond"/>
          <w:sz w:val="25"/>
          <w:szCs w:val="25"/>
        </w:rPr>
        <w:t>va</w:t>
      </w:r>
      <w:r w:rsidRPr="00CB4C42">
        <w:rPr>
          <w:rFonts w:ascii="Garamond" w:hAnsi="Garamond"/>
          <w:sz w:val="25"/>
          <w:szCs w:val="25"/>
        </w:rPr>
        <w:t>no pensione di vecchiaia o che oper</w:t>
      </w:r>
      <w:r w:rsidR="005E7F33">
        <w:rPr>
          <w:rFonts w:ascii="Garamond" w:hAnsi="Garamond"/>
          <w:sz w:val="25"/>
          <w:szCs w:val="25"/>
        </w:rPr>
        <w:t>assero</w:t>
      </w:r>
      <w:r w:rsidRPr="00CB4C42">
        <w:rPr>
          <w:rFonts w:ascii="Garamond" w:hAnsi="Garamond"/>
          <w:sz w:val="25"/>
          <w:szCs w:val="25"/>
        </w:rPr>
        <w:t xml:space="preserve"> </w:t>
      </w:r>
      <w:r w:rsidR="005E7F33">
        <w:rPr>
          <w:rFonts w:ascii="Garamond" w:hAnsi="Garamond"/>
          <w:sz w:val="25"/>
          <w:szCs w:val="25"/>
        </w:rPr>
        <w:t>avendo quale committente una</w:t>
      </w:r>
      <w:r w:rsidRPr="00CB4C42">
        <w:rPr>
          <w:rFonts w:ascii="Garamond" w:hAnsi="Garamond"/>
          <w:sz w:val="25"/>
          <w:szCs w:val="25"/>
        </w:rPr>
        <w:t xml:space="preserve"> pubblic</w:t>
      </w:r>
      <w:r w:rsidR="005E7F33">
        <w:rPr>
          <w:rFonts w:ascii="Garamond" w:hAnsi="Garamond"/>
          <w:sz w:val="25"/>
          <w:szCs w:val="25"/>
        </w:rPr>
        <w:t>a</w:t>
      </w:r>
      <w:r w:rsidRPr="00CB4C42">
        <w:rPr>
          <w:rFonts w:ascii="Garamond" w:hAnsi="Garamond"/>
          <w:sz w:val="25"/>
          <w:szCs w:val="25"/>
        </w:rPr>
        <w:t xml:space="preserve"> amministrazion</w:t>
      </w:r>
      <w:r w:rsidR="005E7F33">
        <w:rPr>
          <w:rFonts w:ascii="Garamond" w:hAnsi="Garamond"/>
          <w:sz w:val="25"/>
          <w:szCs w:val="25"/>
        </w:rPr>
        <w:t>e</w:t>
      </w:r>
      <w:r w:rsidRPr="00CB4C42">
        <w:rPr>
          <w:rFonts w:ascii="Garamond" w:hAnsi="Garamond"/>
          <w:sz w:val="25"/>
          <w:szCs w:val="25"/>
        </w:rPr>
        <w:t>.</w:t>
      </w:r>
      <w:r w:rsidR="0047381F" w:rsidRPr="00CB4C42">
        <w:rPr>
          <w:rFonts w:ascii="Garamond" w:hAnsi="Garamond"/>
          <w:sz w:val="25"/>
          <w:szCs w:val="25"/>
        </w:rPr>
        <w:t xml:space="preserve">  </w:t>
      </w:r>
    </w:p>
    <w:p w:rsidR="0047381F" w:rsidRPr="00CB4C42" w:rsidRDefault="0047381F" w:rsidP="00DB1CB5">
      <w:pPr>
        <w:autoSpaceDE w:val="0"/>
        <w:autoSpaceDN w:val="0"/>
        <w:adjustRightInd w:val="0"/>
        <w:ind w:right="424" w:firstLine="709"/>
        <w:jc w:val="both"/>
        <w:rPr>
          <w:rFonts w:ascii="Garamond" w:hAnsi="Garamond"/>
          <w:sz w:val="25"/>
          <w:szCs w:val="25"/>
        </w:rPr>
      </w:pPr>
      <w:r w:rsidRPr="00CB4C42">
        <w:rPr>
          <w:rFonts w:ascii="Garamond" w:hAnsi="Garamond"/>
          <w:sz w:val="25"/>
          <w:szCs w:val="25"/>
        </w:rPr>
        <w:t xml:space="preserve">La presenza di esclusioni su base meramente soggettiva documentava </w:t>
      </w:r>
      <w:r w:rsidR="005E7F33">
        <w:rPr>
          <w:rFonts w:ascii="Garamond" w:hAnsi="Garamond"/>
          <w:sz w:val="25"/>
          <w:szCs w:val="25"/>
        </w:rPr>
        <w:t>l’</w:t>
      </w:r>
      <w:r w:rsidRPr="00CB4C42">
        <w:rPr>
          <w:rFonts w:ascii="Garamond" w:hAnsi="Garamond"/>
          <w:sz w:val="25"/>
          <w:szCs w:val="25"/>
        </w:rPr>
        <w:t xml:space="preserve">impossibilità di tradurre le eccezioni nei termini di una rigorosa distinzione concettuale, mentre l’assenza di una vera e propria differenziazione sul piano della disciplina normativa finiva per dare l’idea della tendenziale fungibilità fra </w:t>
      </w:r>
      <w:r w:rsidR="008413D7" w:rsidRPr="00CB4C42">
        <w:rPr>
          <w:rFonts w:ascii="Garamond" w:hAnsi="Garamond"/>
          <w:sz w:val="25"/>
          <w:szCs w:val="25"/>
        </w:rPr>
        <w:t>“</w:t>
      </w:r>
      <w:r w:rsidRPr="00CB4C42">
        <w:rPr>
          <w:rFonts w:ascii="Garamond" w:hAnsi="Garamond"/>
          <w:sz w:val="25"/>
          <w:szCs w:val="25"/>
        </w:rPr>
        <w:t>collaborazioni</w:t>
      </w:r>
      <w:r w:rsidR="008413D7" w:rsidRPr="00CB4C42">
        <w:rPr>
          <w:rFonts w:ascii="Garamond" w:hAnsi="Garamond"/>
          <w:sz w:val="25"/>
          <w:szCs w:val="25"/>
        </w:rPr>
        <w:t>”</w:t>
      </w:r>
      <w:r w:rsidRPr="00CB4C42">
        <w:rPr>
          <w:rFonts w:ascii="Garamond" w:hAnsi="Garamond"/>
          <w:sz w:val="25"/>
          <w:szCs w:val="25"/>
        </w:rPr>
        <w:t xml:space="preserve"> e lavoro </w:t>
      </w:r>
      <w:r w:rsidR="008413D7" w:rsidRPr="00CB4C42">
        <w:rPr>
          <w:rFonts w:ascii="Garamond" w:hAnsi="Garamond"/>
          <w:sz w:val="25"/>
          <w:szCs w:val="25"/>
        </w:rPr>
        <w:t xml:space="preserve">a progetto, a dispetto del tentativo di tracciare una linea di delimitazione concettuale fra le due ipotesi. </w:t>
      </w:r>
      <w:r w:rsidR="00D57D69">
        <w:rPr>
          <w:rFonts w:ascii="Garamond" w:hAnsi="Garamond"/>
          <w:sz w:val="25"/>
          <w:szCs w:val="25"/>
        </w:rPr>
        <w:t>L</w:t>
      </w:r>
      <w:r w:rsidR="008413D7" w:rsidRPr="00CB4C42">
        <w:rPr>
          <w:rFonts w:ascii="Garamond" w:hAnsi="Garamond"/>
          <w:sz w:val="25"/>
          <w:szCs w:val="25"/>
        </w:rPr>
        <w:t>a sussistenza di norme in tema di onere contributivo collegate al superamento di certe soglie reddituali annue</w:t>
      </w:r>
      <w:r w:rsidR="00304E7F" w:rsidRPr="00CB4C42">
        <w:rPr>
          <w:rFonts w:ascii="Garamond" w:hAnsi="Garamond"/>
          <w:sz w:val="25"/>
          <w:szCs w:val="25"/>
        </w:rPr>
        <w:t xml:space="preserve"> (5.000 euro)</w:t>
      </w:r>
      <w:r w:rsidR="00D57D69">
        <w:rPr>
          <w:rFonts w:ascii="Garamond" w:hAnsi="Garamond"/>
          <w:sz w:val="25"/>
          <w:szCs w:val="25"/>
        </w:rPr>
        <w:t xml:space="preserve"> con riferimento al contratto d’opera</w:t>
      </w:r>
      <w:r w:rsidR="008413D7" w:rsidRPr="00CB4C42">
        <w:rPr>
          <w:rFonts w:ascii="Garamond" w:hAnsi="Garamond"/>
          <w:sz w:val="25"/>
          <w:szCs w:val="25"/>
        </w:rPr>
        <w:t>, valeva quale conferma che l’antica contrapposizione fra autonomia e subordinazione rimanesse ancor</w:t>
      </w:r>
      <w:r w:rsidR="00D57D69">
        <w:rPr>
          <w:rFonts w:ascii="Garamond" w:hAnsi="Garamond"/>
          <w:sz w:val="25"/>
          <w:szCs w:val="25"/>
        </w:rPr>
        <w:t>a</w:t>
      </w:r>
      <w:r w:rsidR="008413D7" w:rsidRPr="00CB4C42">
        <w:rPr>
          <w:rFonts w:ascii="Garamond" w:hAnsi="Garamond"/>
          <w:sz w:val="25"/>
          <w:szCs w:val="25"/>
        </w:rPr>
        <w:t xml:space="preserve"> pienamente valida.</w:t>
      </w:r>
      <w:r w:rsidRPr="00CB4C42">
        <w:rPr>
          <w:rFonts w:ascii="Garamond" w:hAnsi="Garamond"/>
          <w:sz w:val="25"/>
          <w:szCs w:val="25"/>
        </w:rPr>
        <w:t xml:space="preserve"> </w:t>
      </w:r>
    </w:p>
    <w:p w:rsidR="00DB1CB5" w:rsidRPr="00CB4C42" w:rsidRDefault="00DB1CB5" w:rsidP="00DB1CB5">
      <w:pPr>
        <w:autoSpaceDE w:val="0"/>
        <w:autoSpaceDN w:val="0"/>
        <w:adjustRightInd w:val="0"/>
        <w:ind w:right="424" w:firstLine="709"/>
        <w:jc w:val="both"/>
        <w:rPr>
          <w:rFonts w:ascii="Garamond" w:hAnsi="Garamond"/>
          <w:sz w:val="25"/>
          <w:szCs w:val="25"/>
        </w:rPr>
      </w:pPr>
      <w:r w:rsidRPr="00CB4C42">
        <w:rPr>
          <w:rFonts w:ascii="Garamond" w:hAnsi="Garamond"/>
          <w:sz w:val="25"/>
          <w:szCs w:val="25"/>
        </w:rPr>
        <w:t xml:space="preserve">Non </w:t>
      </w:r>
      <w:r w:rsidR="00D57D69">
        <w:rPr>
          <w:rFonts w:ascii="Garamond" w:hAnsi="Garamond"/>
          <w:sz w:val="25"/>
          <w:szCs w:val="25"/>
        </w:rPr>
        <w:t>a</w:t>
      </w:r>
      <w:r w:rsidRPr="00CB4C42">
        <w:rPr>
          <w:rFonts w:ascii="Garamond" w:hAnsi="Garamond"/>
          <w:sz w:val="25"/>
          <w:szCs w:val="25"/>
        </w:rPr>
        <w:t xml:space="preserve"> caso la formulazione originaria </w:t>
      </w:r>
      <w:r w:rsidR="00D57D69">
        <w:rPr>
          <w:rFonts w:ascii="Garamond" w:hAnsi="Garamond"/>
          <w:sz w:val="25"/>
          <w:szCs w:val="25"/>
        </w:rPr>
        <w:t xml:space="preserve">della figura </w:t>
      </w:r>
      <w:r w:rsidRPr="00CB4C42">
        <w:rPr>
          <w:rFonts w:ascii="Garamond" w:hAnsi="Garamond"/>
          <w:sz w:val="25"/>
          <w:szCs w:val="25"/>
        </w:rPr>
        <w:t xml:space="preserve">ha avuto vita breve, tanto che la legge 28 giugno 2012 n. 92 (c.d. “Fornero”) ha provveduto ad una profonda riscrittura del disposto degli artt. 61, 62, 63, 67 e 69 del d. </w:t>
      </w:r>
      <w:proofErr w:type="spellStart"/>
      <w:r w:rsidRPr="00CB4C42">
        <w:rPr>
          <w:rFonts w:ascii="Garamond" w:hAnsi="Garamond"/>
          <w:sz w:val="25"/>
          <w:szCs w:val="25"/>
        </w:rPr>
        <w:t>lgs</w:t>
      </w:r>
      <w:proofErr w:type="spellEnd"/>
      <w:r w:rsidRPr="00CB4C42">
        <w:rPr>
          <w:rFonts w:ascii="Garamond" w:hAnsi="Garamond"/>
          <w:sz w:val="25"/>
          <w:szCs w:val="25"/>
        </w:rPr>
        <w:t>. 276. Si tratta</w:t>
      </w:r>
      <w:r w:rsidR="00304E7F" w:rsidRPr="00CB4C42">
        <w:rPr>
          <w:rFonts w:ascii="Garamond" w:hAnsi="Garamond"/>
          <w:sz w:val="25"/>
          <w:szCs w:val="25"/>
        </w:rPr>
        <w:t>va</w:t>
      </w:r>
      <w:r w:rsidRPr="00CB4C42">
        <w:rPr>
          <w:rFonts w:ascii="Garamond" w:hAnsi="Garamond"/>
          <w:sz w:val="25"/>
          <w:szCs w:val="25"/>
        </w:rPr>
        <w:t xml:space="preserve"> di modifiche </w:t>
      </w:r>
      <w:r w:rsidR="00D57D69">
        <w:rPr>
          <w:rFonts w:ascii="Garamond" w:hAnsi="Garamond"/>
          <w:sz w:val="25"/>
          <w:szCs w:val="25"/>
        </w:rPr>
        <w:t>,</w:t>
      </w:r>
      <w:r w:rsidRPr="00CB4C42">
        <w:rPr>
          <w:rFonts w:ascii="Garamond" w:hAnsi="Garamond"/>
          <w:sz w:val="25"/>
          <w:szCs w:val="25"/>
        </w:rPr>
        <w:t xml:space="preserve">non già dirette ad una revisione dell’impianto concettuale della fattispecie </w:t>
      </w:r>
      <w:r w:rsidR="00D57D69">
        <w:rPr>
          <w:rFonts w:ascii="Garamond" w:hAnsi="Garamond"/>
          <w:sz w:val="25"/>
          <w:szCs w:val="25"/>
        </w:rPr>
        <w:t>neanche dieci anni prima</w:t>
      </w:r>
      <w:r w:rsidRPr="00CB4C42">
        <w:rPr>
          <w:rFonts w:ascii="Garamond" w:hAnsi="Garamond"/>
          <w:sz w:val="25"/>
          <w:szCs w:val="25"/>
        </w:rPr>
        <w:t xml:space="preserve"> introdotta, ma soprattutto rivolte a dettare un divieto esplicito in ordine alle prassi che si erano diffuse </w:t>
      </w:r>
      <w:r w:rsidR="00D57D69">
        <w:rPr>
          <w:rFonts w:ascii="Garamond" w:hAnsi="Garamond"/>
          <w:sz w:val="25"/>
          <w:szCs w:val="25"/>
        </w:rPr>
        <w:t>al fine di realizzare</w:t>
      </w:r>
      <w:r w:rsidRPr="00CB4C42">
        <w:rPr>
          <w:rFonts w:ascii="Garamond" w:hAnsi="Garamond"/>
          <w:sz w:val="25"/>
          <w:szCs w:val="25"/>
        </w:rPr>
        <w:t xml:space="preserve"> un sostanziale aggiramento della disciplina del d. </w:t>
      </w:r>
      <w:proofErr w:type="spellStart"/>
      <w:r w:rsidRPr="00CB4C42">
        <w:rPr>
          <w:rFonts w:ascii="Garamond" w:hAnsi="Garamond"/>
          <w:sz w:val="25"/>
          <w:szCs w:val="25"/>
        </w:rPr>
        <w:t>lgs</w:t>
      </w:r>
      <w:proofErr w:type="spellEnd"/>
      <w:r w:rsidRPr="00CB4C42">
        <w:rPr>
          <w:rFonts w:ascii="Garamond" w:hAnsi="Garamond"/>
          <w:sz w:val="25"/>
          <w:szCs w:val="25"/>
        </w:rPr>
        <w:t xml:space="preserve">. 276/03. A mente della nuova formulazione, introdotta con la legge n 92/2012  e successivamente raffinata dalla l. n. 134/2012 e dal </w:t>
      </w:r>
      <w:proofErr w:type="spellStart"/>
      <w:r w:rsidRPr="00CB4C42">
        <w:rPr>
          <w:rFonts w:ascii="Garamond" w:hAnsi="Garamond"/>
          <w:sz w:val="25"/>
          <w:szCs w:val="25"/>
        </w:rPr>
        <w:t>d.l.</w:t>
      </w:r>
      <w:proofErr w:type="spellEnd"/>
      <w:r w:rsidRPr="00CB4C42">
        <w:rPr>
          <w:rFonts w:ascii="Garamond" w:hAnsi="Garamond"/>
          <w:sz w:val="25"/>
          <w:szCs w:val="25"/>
        </w:rPr>
        <w:t xml:space="preserve"> n. 76/2013, resta</w:t>
      </w:r>
      <w:r w:rsidR="00304E7F" w:rsidRPr="00CB4C42">
        <w:rPr>
          <w:rFonts w:ascii="Garamond" w:hAnsi="Garamond"/>
          <w:sz w:val="25"/>
          <w:szCs w:val="25"/>
        </w:rPr>
        <w:t>va</w:t>
      </w:r>
      <w:r w:rsidRPr="00CB4C42">
        <w:rPr>
          <w:rFonts w:ascii="Garamond" w:hAnsi="Garamond"/>
          <w:sz w:val="25"/>
          <w:szCs w:val="25"/>
        </w:rPr>
        <w:t xml:space="preserve"> confermato il “collegamento funzionale” del progetto a un determinato risultato finale (venendo tuttavia specificato ciò che in buona misura era del tutto ovvio già prima della modifica del 2012, e cioè che il progetto non p</w:t>
      </w:r>
      <w:r w:rsidR="00304E7F" w:rsidRPr="00CB4C42">
        <w:rPr>
          <w:rFonts w:ascii="Garamond" w:hAnsi="Garamond"/>
          <w:sz w:val="25"/>
          <w:szCs w:val="25"/>
        </w:rPr>
        <w:t>oteva</w:t>
      </w:r>
      <w:r w:rsidRPr="00CB4C42">
        <w:rPr>
          <w:rFonts w:ascii="Garamond" w:hAnsi="Garamond"/>
          <w:sz w:val="25"/>
          <w:szCs w:val="25"/>
        </w:rPr>
        <w:t xml:space="preserve"> consistere in una “mera riproposizione dell’oggetto sociale</w:t>
      </w:r>
      <w:r w:rsidR="00304E7F" w:rsidRPr="00CB4C42">
        <w:rPr>
          <w:rFonts w:ascii="Garamond" w:hAnsi="Garamond"/>
          <w:sz w:val="25"/>
          <w:szCs w:val="25"/>
        </w:rPr>
        <w:t xml:space="preserve"> del committente” e che non poteva</w:t>
      </w:r>
      <w:r w:rsidRPr="00CB4C42">
        <w:rPr>
          <w:rFonts w:ascii="Garamond" w:hAnsi="Garamond"/>
          <w:sz w:val="25"/>
          <w:szCs w:val="25"/>
        </w:rPr>
        <w:t xml:space="preserve"> </w:t>
      </w:r>
      <w:r w:rsidR="00304E7F" w:rsidRPr="00CB4C42">
        <w:rPr>
          <w:rFonts w:ascii="Garamond" w:hAnsi="Garamond"/>
          <w:sz w:val="25"/>
          <w:szCs w:val="25"/>
        </w:rPr>
        <w:t>“</w:t>
      </w:r>
      <w:r w:rsidRPr="00CB4C42">
        <w:rPr>
          <w:rFonts w:ascii="Garamond" w:hAnsi="Garamond"/>
          <w:sz w:val="25"/>
          <w:szCs w:val="25"/>
        </w:rPr>
        <w:t>comportare lo svolgimento di compiti meramente esecutivi o ripetitivi”).</w:t>
      </w:r>
    </w:p>
    <w:p w:rsidR="00DB1CB5" w:rsidRPr="00CB4C42" w:rsidRDefault="00DB1CB5" w:rsidP="00DB1CB5">
      <w:pPr>
        <w:autoSpaceDE w:val="0"/>
        <w:autoSpaceDN w:val="0"/>
        <w:adjustRightInd w:val="0"/>
        <w:ind w:right="424" w:firstLine="709"/>
        <w:jc w:val="both"/>
        <w:rPr>
          <w:rFonts w:ascii="Garamond" w:hAnsi="Garamond"/>
          <w:sz w:val="25"/>
          <w:szCs w:val="25"/>
        </w:rPr>
      </w:pPr>
      <w:r w:rsidRPr="00CB4C42">
        <w:rPr>
          <w:rFonts w:ascii="Garamond" w:hAnsi="Garamond"/>
          <w:sz w:val="25"/>
          <w:szCs w:val="25"/>
        </w:rPr>
        <w:t>Insomma, al pari di quanto avviene per il contratto di appalto, il progetto d</w:t>
      </w:r>
      <w:r w:rsidR="00D57D69">
        <w:rPr>
          <w:rFonts w:ascii="Garamond" w:hAnsi="Garamond"/>
          <w:sz w:val="25"/>
          <w:szCs w:val="25"/>
        </w:rPr>
        <w:t>oveva</w:t>
      </w:r>
      <w:r w:rsidRPr="00CB4C42">
        <w:rPr>
          <w:rFonts w:ascii="Garamond" w:hAnsi="Garamond"/>
          <w:sz w:val="25"/>
          <w:szCs w:val="25"/>
        </w:rPr>
        <w:t xml:space="preserve"> rappresentare, attraverso una descrizione sufficientemente determinata, le modalità convenute dell’opera </w:t>
      </w:r>
      <w:r w:rsidR="00304E7F" w:rsidRPr="00CB4C42">
        <w:rPr>
          <w:rFonts w:ascii="Garamond" w:hAnsi="Garamond"/>
          <w:sz w:val="25"/>
          <w:szCs w:val="25"/>
        </w:rPr>
        <w:t xml:space="preserve">da realizzarsi </w:t>
      </w:r>
      <w:r w:rsidRPr="00CB4C42">
        <w:rPr>
          <w:rFonts w:ascii="Garamond" w:hAnsi="Garamond"/>
          <w:sz w:val="25"/>
          <w:szCs w:val="25"/>
        </w:rPr>
        <w:t xml:space="preserve">(v. artt. 1659 e 1660 c.c.), individuando il risultato finale atteso. Mentre nel caso della commissione di un’opera da edificare, il risultato promesso appare descritto dall’elaborato grafico che rappresenta l’edificio da costruire, nel caso dell’art. 61 d. </w:t>
      </w:r>
      <w:proofErr w:type="spellStart"/>
      <w:r w:rsidRPr="00CB4C42">
        <w:rPr>
          <w:rFonts w:ascii="Garamond" w:hAnsi="Garamond"/>
          <w:sz w:val="25"/>
          <w:szCs w:val="25"/>
        </w:rPr>
        <w:t>lgs</w:t>
      </w:r>
      <w:proofErr w:type="spellEnd"/>
      <w:r w:rsidRPr="00CB4C42">
        <w:rPr>
          <w:rFonts w:ascii="Garamond" w:hAnsi="Garamond"/>
          <w:sz w:val="25"/>
          <w:szCs w:val="25"/>
        </w:rPr>
        <w:t>. 276/03, il progetto deve rappresentare l’utilità attesa dal creditore, tanto che, ferma le legittimità della pattuizione del termine di consegna, resta</w:t>
      </w:r>
      <w:r w:rsidR="00304E7F" w:rsidRPr="00CB4C42">
        <w:rPr>
          <w:rFonts w:ascii="Garamond" w:hAnsi="Garamond"/>
          <w:sz w:val="25"/>
          <w:szCs w:val="25"/>
        </w:rPr>
        <w:t>va</w:t>
      </w:r>
      <w:r w:rsidRPr="00CB4C42">
        <w:rPr>
          <w:rFonts w:ascii="Garamond" w:hAnsi="Garamond"/>
          <w:sz w:val="25"/>
          <w:szCs w:val="25"/>
        </w:rPr>
        <w:t xml:space="preserve"> irrilevante «il tempo impiegato per l’esecuzione dell’attività lavorativa».</w:t>
      </w:r>
    </w:p>
    <w:p w:rsidR="00D57D69" w:rsidRDefault="00DB1CB5" w:rsidP="003956E0">
      <w:pPr>
        <w:autoSpaceDE w:val="0"/>
        <w:autoSpaceDN w:val="0"/>
        <w:adjustRightInd w:val="0"/>
        <w:ind w:right="424" w:firstLine="709"/>
        <w:jc w:val="both"/>
        <w:rPr>
          <w:rFonts w:ascii="Garamond" w:hAnsi="Garamond"/>
          <w:sz w:val="25"/>
          <w:szCs w:val="25"/>
        </w:rPr>
      </w:pPr>
      <w:r w:rsidRPr="00CB4C42">
        <w:rPr>
          <w:rFonts w:ascii="Garamond" w:hAnsi="Garamond"/>
          <w:sz w:val="25"/>
          <w:szCs w:val="25"/>
        </w:rPr>
        <w:t>Il legislatore</w:t>
      </w:r>
      <w:r w:rsidR="00D57D69">
        <w:rPr>
          <w:rFonts w:ascii="Garamond" w:hAnsi="Garamond"/>
          <w:sz w:val="25"/>
          <w:szCs w:val="25"/>
        </w:rPr>
        <w:t xml:space="preserve"> in questo modo</w:t>
      </w:r>
      <w:r w:rsidRPr="00CB4C42">
        <w:rPr>
          <w:rFonts w:ascii="Garamond" w:hAnsi="Garamond"/>
          <w:sz w:val="25"/>
          <w:szCs w:val="25"/>
        </w:rPr>
        <w:t xml:space="preserve"> </w:t>
      </w:r>
      <w:r w:rsidR="00304E7F" w:rsidRPr="00CB4C42">
        <w:rPr>
          <w:rFonts w:ascii="Garamond" w:hAnsi="Garamond"/>
          <w:sz w:val="25"/>
          <w:szCs w:val="25"/>
        </w:rPr>
        <w:t xml:space="preserve">reagendo alla prassi che aveva fatto trasmigrare la subordinazione nella (pseudo-)collaborazione, finiva </w:t>
      </w:r>
      <w:r w:rsidRPr="00CB4C42">
        <w:rPr>
          <w:rFonts w:ascii="Garamond" w:hAnsi="Garamond"/>
          <w:sz w:val="25"/>
          <w:szCs w:val="25"/>
        </w:rPr>
        <w:t xml:space="preserve">per </w:t>
      </w:r>
      <w:r w:rsidR="00D57D69">
        <w:rPr>
          <w:rFonts w:ascii="Garamond" w:hAnsi="Garamond"/>
          <w:sz w:val="25"/>
          <w:szCs w:val="25"/>
        </w:rPr>
        <w:t>riconoscere che</w:t>
      </w:r>
      <w:r w:rsidRPr="00CB4C42">
        <w:rPr>
          <w:rFonts w:ascii="Garamond" w:hAnsi="Garamond"/>
          <w:sz w:val="25"/>
          <w:szCs w:val="25"/>
        </w:rPr>
        <w:t xml:space="preserve"> </w:t>
      </w:r>
      <w:r w:rsidR="00D57D69">
        <w:rPr>
          <w:rFonts w:ascii="Garamond" w:hAnsi="Garamond"/>
          <w:sz w:val="25"/>
          <w:szCs w:val="25"/>
        </w:rPr>
        <w:t>i</w:t>
      </w:r>
      <w:r w:rsidRPr="00CB4C42">
        <w:rPr>
          <w:rFonts w:ascii="Garamond" w:hAnsi="Garamond"/>
          <w:sz w:val="25"/>
          <w:szCs w:val="25"/>
        </w:rPr>
        <w:t xml:space="preserve">l lavoro a progetto </w:t>
      </w:r>
      <w:r w:rsidR="00D57D69">
        <w:rPr>
          <w:rFonts w:ascii="Garamond" w:hAnsi="Garamond"/>
          <w:sz w:val="25"/>
          <w:szCs w:val="25"/>
        </w:rPr>
        <w:t xml:space="preserve">altro non era se non </w:t>
      </w:r>
      <w:r w:rsidRPr="00CB4C42">
        <w:rPr>
          <w:rFonts w:ascii="Garamond" w:hAnsi="Garamond"/>
          <w:sz w:val="25"/>
          <w:szCs w:val="25"/>
        </w:rPr>
        <w:t xml:space="preserve">una variante del </w:t>
      </w:r>
      <w:r w:rsidR="00DC178A" w:rsidRPr="00CB4C42">
        <w:rPr>
          <w:rFonts w:ascii="Garamond" w:hAnsi="Garamond"/>
          <w:sz w:val="25"/>
          <w:szCs w:val="25"/>
        </w:rPr>
        <w:t>contratto d’opera</w:t>
      </w:r>
      <w:r w:rsidRPr="00CB4C42">
        <w:rPr>
          <w:rFonts w:ascii="Garamond" w:hAnsi="Garamond"/>
          <w:sz w:val="25"/>
          <w:szCs w:val="25"/>
        </w:rPr>
        <w:t xml:space="preserve"> di cui all’art. 2222 c.c., nella quale </w:t>
      </w:r>
      <w:r w:rsidR="00D57D69">
        <w:rPr>
          <w:rFonts w:ascii="Garamond" w:hAnsi="Garamond"/>
          <w:sz w:val="25"/>
          <w:szCs w:val="25"/>
        </w:rPr>
        <w:t xml:space="preserve">erano peraltro presenti tutti i caratteri della previsione processuale del 1973, </w:t>
      </w:r>
      <w:r w:rsidRPr="00CB4C42">
        <w:rPr>
          <w:rFonts w:ascii="Garamond" w:hAnsi="Garamond"/>
          <w:sz w:val="25"/>
          <w:szCs w:val="25"/>
        </w:rPr>
        <w:t>di modo che il “coordinamento” con l’o</w:t>
      </w:r>
      <w:r w:rsidR="00304E7F" w:rsidRPr="00CB4C42">
        <w:rPr>
          <w:rFonts w:ascii="Garamond" w:hAnsi="Garamond"/>
          <w:sz w:val="25"/>
          <w:szCs w:val="25"/>
        </w:rPr>
        <w:t>rganizzazione del committente veniva</w:t>
      </w:r>
      <w:r w:rsidRPr="00CB4C42">
        <w:rPr>
          <w:rFonts w:ascii="Garamond" w:hAnsi="Garamond"/>
          <w:sz w:val="25"/>
          <w:szCs w:val="25"/>
        </w:rPr>
        <w:t xml:space="preserve"> ad esaurirsi nella capacità del risultato promesso (descritto dal “progetto”) di inserirsi funzionalmente nell’organizzazione di impresa predisposta dal committente, mentre la </w:t>
      </w:r>
      <w:proofErr w:type="spellStart"/>
      <w:r w:rsidRPr="00CB4C42">
        <w:rPr>
          <w:rFonts w:ascii="Garamond" w:hAnsi="Garamond"/>
          <w:sz w:val="25"/>
          <w:szCs w:val="25"/>
        </w:rPr>
        <w:t>continuatività</w:t>
      </w:r>
      <w:proofErr w:type="spellEnd"/>
      <w:r w:rsidRPr="00CB4C42">
        <w:rPr>
          <w:rFonts w:ascii="Garamond" w:hAnsi="Garamond"/>
          <w:sz w:val="25"/>
          <w:szCs w:val="25"/>
        </w:rPr>
        <w:t xml:space="preserve"> del rapporto </w:t>
      </w:r>
      <w:r w:rsidR="00D57D69">
        <w:rPr>
          <w:rFonts w:ascii="Garamond" w:hAnsi="Garamond"/>
          <w:sz w:val="25"/>
          <w:szCs w:val="25"/>
        </w:rPr>
        <w:t>era</w:t>
      </w:r>
      <w:r w:rsidRPr="00CB4C42">
        <w:rPr>
          <w:rFonts w:ascii="Garamond" w:hAnsi="Garamond"/>
          <w:sz w:val="25"/>
          <w:szCs w:val="25"/>
        </w:rPr>
        <w:t xml:space="preserve"> conseguente al fatto che l’esecuzione non è contestuale alla stipula del contratto, ma richiede una protratta fase esecutiva. </w:t>
      </w:r>
    </w:p>
    <w:p w:rsidR="00DC178A" w:rsidRPr="00CB4C42" w:rsidRDefault="00DB1CB5" w:rsidP="003956E0">
      <w:pPr>
        <w:autoSpaceDE w:val="0"/>
        <w:autoSpaceDN w:val="0"/>
        <w:adjustRightInd w:val="0"/>
        <w:ind w:right="424" w:firstLine="709"/>
        <w:jc w:val="both"/>
        <w:rPr>
          <w:rFonts w:ascii="Garamond" w:hAnsi="Garamond"/>
          <w:sz w:val="25"/>
          <w:szCs w:val="25"/>
        </w:rPr>
      </w:pPr>
      <w:r w:rsidRPr="00CB4C42">
        <w:rPr>
          <w:rFonts w:ascii="Garamond" w:hAnsi="Garamond"/>
          <w:sz w:val="25"/>
          <w:szCs w:val="25"/>
        </w:rPr>
        <w:t>La stessa riforma, tuttavia, è venuta in parte a contraddirsi là dove ha modificato le iniziali previsioni di cui all’</w:t>
      </w:r>
      <w:r w:rsidR="00D57D69">
        <w:rPr>
          <w:rFonts w:ascii="Garamond" w:hAnsi="Garamond"/>
          <w:sz w:val="25"/>
          <w:szCs w:val="25"/>
        </w:rPr>
        <w:t xml:space="preserve">originario </w:t>
      </w:r>
      <w:r w:rsidRPr="00CB4C42">
        <w:rPr>
          <w:rFonts w:ascii="Garamond" w:hAnsi="Garamond"/>
          <w:sz w:val="25"/>
          <w:szCs w:val="25"/>
        </w:rPr>
        <w:t xml:space="preserve">art. 63 d. </w:t>
      </w:r>
      <w:proofErr w:type="spellStart"/>
      <w:r w:rsidRPr="00CB4C42">
        <w:rPr>
          <w:rFonts w:ascii="Garamond" w:hAnsi="Garamond"/>
          <w:sz w:val="25"/>
          <w:szCs w:val="25"/>
        </w:rPr>
        <w:t>lgs</w:t>
      </w:r>
      <w:proofErr w:type="spellEnd"/>
      <w:r w:rsidRPr="00CB4C42">
        <w:rPr>
          <w:rFonts w:ascii="Garamond" w:hAnsi="Garamond"/>
          <w:sz w:val="25"/>
          <w:szCs w:val="25"/>
        </w:rPr>
        <w:t>. 276, introducendo garanzie in ordine alla misura del corrispettivo</w:t>
      </w:r>
      <w:r w:rsidR="00304E7F" w:rsidRPr="00CB4C42">
        <w:rPr>
          <w:rFonts w:ascii="Garamond" w:hAnsi="Garamond"/>
          <w:sz w:val="25"/>
          <w:szCs w:val="25"/>
        </w:rPr>
        <w:t>,</w:t>
      </w:r>
      <w:r w:rsidRPr="00CB4C42">
        <w:rPr>
          <w:rFonts w:ascii="Garamond" w:hAnsi="Garamond"/>
          <w:sz w:val="25"/>
          <w:szCs w:val="25"/>
        </w:rPr>
        <w:t xml:space="preserve"> che appaiono del tutto incompatibili con la autonomia esecutiva del prestatore, e che richiamano semmai la retribuzione, e dunque la </w:t>
      </w:r>
      <w:r w:rsidR="00D57D69">
        <w:rPr>
          <w:rFonts w:ascii="Garamond" w:hAnsi="Garamond"/>
          <w:sz w:val="25"/>
          <w:szCs w:val="25"/>
        </w:rPr>
        <w:t>contro</w:t>
      </w:r>
      <w:r w:rsidRPr="00CB4C42">
        <w:rPr>
          <w:rFonts w:ascii="Garamond" w:hAnsi="Garamond"/>
          <w:sz w:val="25"/>
          <w:szCs w:val="25"/>
        </w:rPr>
        <w:t>prestazione tipica del lavor</w:t>
      </w:r>
      <w:r w:rsidR="00D57D69">
        <w:rPr>
          <w:rFonts w:ascii="Garamond" w:hAnsi="Garamond"/>
          <w:sz w:val="25"/>
          <w:szCs w:val="25"/>
        </w:rPr>
        <w:t>atore</w:t>
      </w:r>
      <w:r w:rsidRPr="00CB4C42">
        <w:rPr>
          <w:rFonts w:ascii="Garamond" w:hAnsi="Garamond"/>
          <w:sz w:val="25"/>
          <w:szCs w:val="25"/>
        </w:rPr>
        <w:t xml:space="preserve"> subordinato, vincolato al rispetto di un orario predeterminato: mentre la norma nella sua precedente formulazione imponeva al committente di “tenere conto dei compensi normalmente corrisposti per analoghe prestazioni di lavoro autonomo nel luogo di esecuzione del rapporto”</w:t>
      </w:r>
      <w:r w:rsidR="00D57D69">
        <w:rPr>
          <w:rFonts w:ascii="Garamond" w:hAnsi="Garamond"/>
          <w:sz w:val="25"/>
          <w:szCs w:val="25"/>
        </w:rPr>
        <w:t>,</w:t>
      </w:r>
      <w:r w:rsidRPr="00CB4C42">
        <w:rPr>
          <w:rFonts w:ascii="Garamond" w:hAnsi="Garamond"/>
          <w:sz w:val="25"/>
          <w:szCs w:val="25"/>
        </w:rPr>
        <w:t xml:space="preserve"> il disposto della legge n 92/2012 aggancia</w:t>
      </w:r>
      <w:r w:rsidR="00304E7F" w:rsidRPr="00CB4C42">
        <w:rPr>
          <w:rFonts w:ascii="Garamond" w:hAnsi="Garamond"/>
          <w:sz w:val="25"/>
          <w:szCs w:val="25"/>
        </w:rPr>
        <w:t>v</w:t>
      </w:r>
      <w:r w:rsidRPr="00CB4C42">
        <w:rPr>
          <w:rFonts w:ascii="Garamond" w:hAnsi="Garamond"/>
          <w:sz w:val="25"/>
          <w:szCs w:val="25"/>
        </w:rPr>
        <w:t xml:space="preserve">a tale minimo ai salari “applicati nel settore medesimo alle mansioni equiparabili svolte dai lavoratori subordinati” in conformità alle previsioni della contrattazione collettiva di settore. </w:t>
      </w:r>
    </w:p>
    <w:p w:rsidR="00304E7F" w:rsidRPr="00CB4C42" w:rsidRDefault="00304E7F" w:rsidP="003956E0">
      <w:pPr>
        <w:autoSpaceDE w:val="0"/>
        <w:autoSpaceDN w:val="0"/>
        <w:adjustRightInd w:val="0"/>
        <w:ind w:right="424" w:firstLine="709"/>
        <w:jc w:val="both"/>
        <w:rPr>
          <w:rFonts w:ascii="Garamond" w:hAnsi="Garamond"/>
          <w:sz w:val="25"/>
          <w:szCs w:val="25"/>
        </w:rPr>
      </w:pPr>
    </w:p>
    <w:p w:rsidR="00DC178A" w:rsidRPr="00CB4C42" w:rsidRDefault="00304E7F" w:rsidP="003956E0">
      <w:pPr>
        <w:autoSpaceDE w:val="0"/>
        <w:autoSpaceDN w:val="0"/>
        <w:adjustRightInd w:val="0"/>
        <w:ind w:right="424" w:firstLine="709"/>
        <w:jc w:val="both"/>
        <w:rPr>
          <w:rFonts w:ascii="Garamond" w:hAnsi="Garamond"/>
          <w:sz w:val="25"/>
          <w:szCs w:val="25"/>
        </w:rPr>
      </w:pPr>
      <w:r w:rsidRPr="00CB4C42">
        <w:rPr>
          <w:rFonts w:ascii="Garamond" w:hAnsi="Garamond"/>
          <w:b/>
          <w:sz w:val="25"/>
          <w:szCs w:val="25"/>
        </w:rPr>
        <w:lastRenderedPageBreak/>
        <w:t>3.</w:t>
      </w:r>
      <w:r w:rsidRPr="00CB4C42">
        <w:rPr>
          <w:rFonts w:ascii="Garamond" w:hAnsi="Garamond"/>
          <w:sz w:val="25"/>
          <w:szCs w:val="25"/>
        </w:rPr>
        <w:t xml:space="preserve"> </w:t>
      </w:r>
      <w:r w:rsidR="00DC178A" w:rsidRPr="00CB4C42">
        <w:rPr>
          <w:rFonts w:ascii="Garamond" w:hAnsi="Garamond"/>
          <w:sz w:val="25"/>
          <w:szCs w:val="25"/>
        </w:rPr>
        <w:t xml:space="preserve">Il legislatore </w:t>
      </w:r>
      <w:r w:rsidRPr="00CB4C42">
        <w:rPr>
          <w:rFonts w:ascii="Garamond" w:hAnsi="Garamond"/>
          <w:sz w:val="25"/>
          <w:szCs w:val="25"/>
        </w:rPr>
        <w:t xml:space="preserve">del 2015 </w:t>
      </w:r>
      <w:r w:rsidR="00DC178A" w:rsidRPr="00CB4C42">
        <w:rPr>
          <w:rFonts w:ascii="Garamond" w:hAnsi="Garamond"/>
          <w:sz w:val="25"/>
          <w:szCs w:val="25"/>
        </w:rPr>
        <w:t xml:space="preserve">viene ora a cancellare non solo le norme che riconoscevano il lavoro a progetto, ma anche quelle che contenevano presunzioni </w:t>
      </w:r>
      <w:proofErr w:type="spellStart"/>
      <w:r w:rsidR="00DC178A" w:rsidRPr="00CB4C42">
        <w:rPr>
          <w:rFonts w:ascii="Garamond" w:hAnsi="Garamond"/>
          <w:sz w:val="25"/>
          <w:szCs w:val="25"/>
        </w:rPr>
        <w:t>antifraudolente</w:t>
      </w:r>
      <w:proofErr w:type="spellEnd"/>
      <w:r w:rsidR="00302960">
        <w:rPr>
          <w:rFonts w:ascii="Garamond" w:hAnsi="Garamond"/>
          <w:sz w:val="25"/>
          <w:szCs w:val="25"/>
        </w:rPr>
        <w:t xml:space="preserve"> (art. 52, d. </w:t>
      </w:r>
      <w:proofErr w:type="spellStart"/>
      <w:r w:rsidR="00302960">
        <w:rPr>
          <w:rFonts w:ascii="Garamond" w:hAnsi="Garamond"/>
          <w:sz w:val="25"/>
          <w:szCs w:val="25"/>
        </w:rPr>
        <w:t>lgs</w:t>
      </w:r>
      <w:proofErr w:type="spellEnd"/>
      <w:r w:rsidR="00302960">
        <w:rPr>
          <w:rFonts w:ascii="Garamond" w:hAnsi="Garamond"/>
          <w:sz w:val="25"/>
          <w:szCs w:val="25"/>
        </w:rPr>
        <w:t xml:space="preserve">. </w:t>
      </w:r>
      <w:r w:rsidR="00302960" w:rsidRPr="00302960">
        <w:rPr>
          <w:rFonts w:ascii="Garamond" w:hAnsi="Garamond"/>
          <w:sz w:val="25"/>
          <w:szCs w:val="25"/>
        </w:rPr>
        <w:t>15 giugno 2015, n. 81</w:t>
      </w:r>
      <w:r w:rsidR="00302960">
        <w:rPr>
          <w:rFonts w:ascii="Garamond" w:hAnsi="Garamond"/>
          <w:sz w:val="25"/>
          <w:szCs w:val="25"/>
        </w:rPr>
        <w:t>)</w:t>
      </w:r>
      <w:r w:rsidR="00DC178A" w:rsidRPr="00CB4C42">
        <w:rPr>
          <w:rFonts w:ascii="Garamond" w:hAnsi="Garamond"/>
          <w:sz w:val="25"/>
          <w:szCs w:val="25"/>
        </w:rPr>
        <w:t xml:space="preserve">; viene </w:t>
      </w:r>
      <w:r w:rsidRPr="00CB4C42">
        <w:rPr>
          <w:rFonts w:ascii="Garamond" w:hAnsi="Garamond"/>
          <w:sz w:val="25"/>
          <w:szCs w:val="25"/>
        </w:rPr>
        <w:t xml:space="preserve">così </w:t>
      </w:r>
      <w:r w:rsidR="00DC178A" w:rsidRPr="00CB4C42">
        <w:rPr>
          <w:rFonts w:ascii="Garamond" w:hAnsi="Garamond"/>
          <w:sz w:val="25"/>
          <w:szCs w:val="25"/>
        </w:rPr>
        <w:t xml:space="preserve">ribadita la perdurante vigenza dell’art. 409 </w:t>
      </w:r>
      <w:proofErr w:type="spellStart"/>
      <w:r w:rsidR="00DC178A" w:rsidRPr="00CB4C42">
        <w:rPr>
          <w:rFonts w:ascii="Garamond" w:hAnsi="Garamond"/>
          <w:sz w:val="25"/>
          <w:szCs w:val="25"/>
        </w:rPr>
        <w:t>c.p.c.</w:t>
      </w:r>
      <w:proofErr w:type="spellEnd"/>
      <w:r w:rsidR="00DC178A" w:rsidRPr="00CB4C42">
        <w:rPr>
          <w:rFonts w:ascii="Garamond" w:hAnsi="Garamond"/>
          <w:sz w:val="25"/>
          <w:szCs w:val="25"/>
        </w:rPr>
        <w:t xml:space="preserve"> </w:t>
      </w:r>
      <w:r w:rsidR="00302960">
        <w:rPr>
          <w:rFonts w:ascii="Garamond" w:hAnsi="Garamond"/>
          <w:sz w:val="25"/>
          <w:szCs w:val="25"/>
        </w:rPr>
        <w:t>mentr</w:t>
      </w:r>
      <w:r w:rsidR="00DC178A" w:rsidRPr="00CB4C42">
        <w:rPr>
          <w:rFonts w:ascii="Garamond" w:hAnsi="Garamond"/>
          <w:sz w:val="25"/>
          <w:szCs w:val="25"/>
        </w:rPr>
        <w:t xml:space="preserve">e si </w:t>
      </w:r>
      <w:r w:rsidR="00302960">
        <w:rPr>
          <w:rFonts w:ascii="Garamond" w:hAnsi="Garamond"/>
          <w:sz w:val="25"/>
          <w:szCs w:val="25"/>
        </w:rPr>
        <w:t xml:space="preserve">stabilisce all’art. 2 dello stesso d. </w:t>
      </w:r>
      <w:proofErr w:type="spellStart"/>
      <w:r w:rsidR="00302960">
        <w:rPr>
          <w:rFonts w:ascii="Garamond" w:hAnsi="Garamond"/>
          <w:sz w:val="25"/>
          <w:szCs w:val="25"/>
        </w:rPr>
        <w:t>lgs</w:t>
      </w:r>
      <w:proofErr w:type="spellEnd"/>
      <w:r w:rsidR="00302960">
        <w:rPr>
          <w:rFonts w:ascii="Garamond" w:hAnsi="Garamond"/>
          <w:sz w:val="25"/>
          <w:szCs w:val="25"/>
        </w:rPr>
        <w:t>.</w:t>
      </w:r>
      <w:r w:rsidR="00DC178A" w:rsidRPr="00CB4C42">
        <w:rPr>
          <w:rFonts w:ascii="Garamond" w:hAnsi="Garamond"/>
          <w:sz w:val="25"/>
          <w:szCs w:val="25"/>
        </w:rPr>
        <w:t xml:space="preserve"> che al lavor</w:t>
      </w:r>
      <w:r w:rsidRPr="00CB4C42">
        <w:rPr>
          <w:rFonts w:ascii="Garamond" w:hAnsi="Garamond"/>
          <w:sz w:val="25"/>
          <w:szCs w:val="25"/>
        </w:rPr>
        <w:t xml:space="preserve">o </w:t>
      </w:r>
      <w:r w:rsidR="00302960">
        <w:rPr>
          <w:rFonts w:ascii="Garamond" w:hAnsi="Garamond"/>
          <w:sz w:val="25"/>
          <w:szCs w:val="25"/>
        </w:rPr>
        <w:t xml:space="preserve">esclusivamente personale, continuativo ed </w:t>
      </w:r>
      <w:r w:rsidRPr="00CB4C42">
        <w:rPr>
          <w:rFonts w:ascii="Garamond" w:hAnsi="Garamond"/>
          <w:sz w:val="25"/>
          <w:szCs w:val="25"/>
        </w:rPr>
        <w:t>etero</w:t>
      </w:r>
      <w:r w:rsidR="00302960">
        <w:rPr>
          <w:rFonts w:ascii="Garamond" w:hAnsi="Garamond"/>
          <w:sz w:val="25"/>
          <w:szCs w:val="25"/>
        </w:rPr>
        <w:t>-</w:t>
      </w:r>
      <w:r w:rsidRPr="00CB4C42">
        <w:rPr>
          <w:rFonts w:ascii="Garamond" w:hAnsi="Garamond"/>
          <w:sz w:val="25"/>
          <w:szCs w:val="25"/>
        </w:rPr>
        <w:t xml:space="preserve">organizzato </w:t>
      </w:r>
      <w:r w:rsidR="00302960">
        <w:rPr>
          <w:rFonts w:ascii="Garamond" w:hAnsi="Garamond"/>
          <w:sz w:val="25"/>
          <w:szCs w:val="25"/>
        </w:rPr>
        <w:t xml:space="preserve">in ordine alla fase di esecuzione della prestazione </w:t>
      </w:r>
      <w:r w:rsidRPr="00CB4C42">
        <w:rPr>
          <w:rFonts w:ascii="Garamond" w:hAnsi="Garamond"/>
          <w:sz w:val="25"/>
          <w:szCs w:val="25"/>
        </w:rPr>
        <w:t>si applican</w:t>
      </w:r>
      <w:r w:rsidR="00DC178A" w:rsidRPr="00CB4C42">
        <w:rPr>
          <w:rFonts w:ascii="Garamond" w:hAnsi="Garamond"/>
          <w:sz w:val="25"/>
          <w:szCs w:val="25"/>
        </w:rPr>
        <w:t>o le disposizioni di cui al lavoro subordinato.</w:t>
      </w:r>
    </w:p>
    <w:p w:rsidR="00DC178A" w:rsidRPr="00CB4C42" w:rsidRDefault="00DC178A" w:rsidP="003956E0">
      <w:pPr>
        <w:autoSpaceDE w:val="0"/>
        <w:autoSpaceDN w:val="0"/>
        <w:adjustRightInd w:val="0"/>
        <w:ind w:right="424" w:firstLine="709"/>
        <w:jc w:val="both"/>
        <w:rPr>
          <w:rFonts w:ascii="Garamond" w:hAnsi="Garamond"/>
          <w:sz w:val="25"/>
          <w:szCs w:val="25"/>
        </w:rPr>
      </w:pPr>
      <w:r w:rsidRPr="00CB4C42">
        <w:rPr>
          <w:rFonts w:ascii="Garamond" w:hAnsi="Garamond"/>
          <w:sz w:val="25"/>
          <w:szCs w:val="25"/>
        </w:rPr>
        <w:t>Non  sussistono lavori preparatori cui fare riferimento per ricostruire la volontà del legislatore delegato (e neanche un libro bianco, che guidi l’interprete).</w:t>
      </w:r>
      <w:r w:rsidR="00DB1CB5" w:rsidRPr="00CB4C42">
        <w:rPr>
          <w:rFonts w:ascii="Garamond" w:hAnsi="Garamond"/>
          <w:sz w:val="25"/>
          <w:szCs w:val="25"/>
        </w:rPr>
        <w:t xml:space="preserve"> </w:t>
      </w:r>
      <w:r w:rsidR="00302960">
        <w:rPr>
          <w:rFonts w:ascii="Garamond" w:hAnsi="Garamond"/>
          <w:sz w:val="25"/>
          <w:szCs w:val="25"/>
        </w:rPr>
        <w:t>Dovendomi quindi attenere all’intenzione oggettiva della norma, quale fatta palese dal senso delle parole,</w:t>
      </w:r>
      <w:r w:rsidRPr="00CB4C42">
        <w:rPr>
          <w:rFonts w:ascii="Garamond" w:hAnsi="Garamond"/>
          <w:sz w:val="25"/>
          <w:szCs w:val="25"/>
        </w:rPr>
        <w:t xml:space="preserve"> me sembra, invero, che la norma riporti la questione pressappoco al punto in cui si trovava prima del d. </w:t>
      </w:r>
      <w:proofErr w:type="spellStart"/>
      <w:r w:rsidRPr="00CB4C42">
        <w:rPr>
          <w:rFonts w:ascii="Garamond" w:hAnsi="Garamond"/>
          <w:sz w:val="25"/>
          <w:szCs w:val="25"/>
        </w:rPr>
        <w:t>lgs</w:t>
      </w:r>
      <w:proofErr w:type="spellEnd"/>
      <w:r w:rsidRPr="00CB4C42">
        <w:rPr>
          <w:rFonts w:ascii="Garamond" w:hAnsi="Garamond"/>
          <w:sz w:val="25"/>
          <w:szCs w:val="25"/>
        </w:rPr>
        <w:t xml:space="preserve">. 276/2003. </w:t>
      </w:r>
    </w:p>
    <w:p w:rsidR="00DB1CB5" w:rsidRPr="00CB4C42" w:rsidRDefault="00DC178A" w:rsidP="003956E0">
      <w:pPr>
        <w:autoSpaceDE w:val="0"/>
        <w:autoSpaceDN w:val="0"/>
        <w:adjustRightInd w:val="0"/>
        <w:ind w:right="424" w:firstLine="709"/>
        <w:jc w:val="both"/>
        <w:rPr>
          <w:rFonts w:ascii="Garamond" w:hAnsi="Garamond"/>
          <w:sz w:val="25"/>
          <w:szCs w:val="25"/>
        </w:rPr>
      </w:pPr>
      <w:r w:rsidRPr="00CB4C42">
        <w:rPr>
          <w:rFonts w:ascii="Garamond" w:hAnsi="Garamond"/>
          <w:sz w:val="25"/>
          <w:szCs w:val="25"/>
        </w:rPr>
        <w:t xml:space="preserve">Innanzi tutto si deve individuare in cosa si distingua la fattispecie </w:t>
      </w:r>
      <w:r w:rsidR="00302960">
        <w:rPr>
          <w:rFonts w:ascii="Garamond" w:hAnsi="Garamond"/>
          <w:sz w:val="25"/>
          <w:szCs w:val="25"/>
        </w:rPr>
        <w:t xml:space="preserve">nuova </w:t>
      </w:r>
      <w:r w:rsidRPr="00CB4C42">
        <w:rPr>
          <w:rFonts w:ascii="Garamond" w:hAnsi="Garamond"/>
          <w:sz w:val="25"/>
          <w:szCs w:val="25"/>
        </w:rPr>
        <w:t xml:space="preserve">da quella di cui all’art. 2094 c.c., dovendosi ritenere in questo senso che, </w:t>
      </w:r>
      <w:r w:rsidR="00302960">
        <w:rPr>
          <w:rFonts w:ascii="Garamond" w:hAnsi="Garamond"/>
          <w:sz w:val="25"/>
          <w:szCs w:val="25"/>
        </w:rPr>
        <w:t xml:space="preserve">al di là </w:t>
      </w:r>
      <w:r w:rsidR="00741DFC" w:rsidRPr="00CB4C42">
        <w:rPr>
          <w:rFonts w:ascii="Garamond" w:hAnsi="Garamond"/>
          <w:sz w:val="25"/>
          <w:szCs w:val="25"/>
        </w:rPr>
        <w:t>d</w:t>
      </w:r>
      <w:r w:rsidR="00302960">
        <w:rPr>
          <w:rFonts w:ascii="Garamond" w:hAnsi="Garamond"/>
          <w:sz w:val="25"/>
          <w:szCs w:val="25"/>
        </w:rPr>
        <w:t>e</w:t>
      </w:r>
      <w:r w:rsidR="00741DFC" w:rsidRPr="00CB4C42">
        <w:rPr>
          <w:rFonts w:ascii="Garamond" w:hAnsi="Garamond"/>
          <w:sz w:val="25"/>
          <w:szCs w:val="25"/>
        </w:rPr>
        <w:t>lla p</w:t>
      </w:r>
      <w:r w:rsidRPr="00CB4C42">
        <w:rPr>
          <w:rFonts w:ascii="Garamond" w:hAnsi="Garamond"/>
          <w:sz w:val="25"/>
          <w:szCs w:val="25"/>
        </w:rPr>
        <w:t>ossibilità di una applicazione del disposto dell</w:t>
      </w:r>
      <w:r w:rsidR="00304E7F" w:rsidRPr="00CB4C42">
        <w:rPr>
          <w:rFonts w:ascii="Garamond" w:hAnsi="Garamond"/>
          <w:sz w:val="25"/>
          <w:szCs w:val="25"/>
        </w:rPr>
        <w:t>a</w:t>
      </w:r>
      <w:r w:rsidR="00302960">
        <w:rPr>
          <w:rFonts w:ascii="Garamond" w:hAnsi="Garamond"/>
          <w:sz w:val="25"/>
          <w:szCs w:val="25"/>
        </w:rPr>
        <w:t xml:space="preserve"> norma del 2015</w:t>
      </w:r>
      <w:r w:rsidRPr="00CB4C42">
        <w:rPr>
          <w:rFonts w:ascii="Garamond" w:hAnsi="Garamond"/>
          <w:sz w:val="25"/>
          <w:szCs w:val="25"/>
        </w:rPr>
        <w:t xml:space="preserve"> sulla base del c.d. metodo tipologico</w:t>
      </w:r>
      <w:r w:rsidR="00000272">
        <w:rPr>
          <w:rFonts w:ascii="Garamond" w:hAnsi="Garamond"/>
          <w:sz w:val="25"/>
          <w:szCs w:val="25"/>
        </w:rPr>
        <w:t xml:space="preserve"> (v. </w:t>
      </w:r>
      <w:r w:rsidR="00000272" w:rsidRPr="00000272">
        <w:rPr>
          <w:rFonts w:ascii="Garamond" w:hAnsi="Garamond"/>
          <w:i/>
          <w:sz w:val="25"/>
          <w:szCs w:val="25"/>
        </w:rPr>
        <w:t>infra</w:t>
      </w:r>
      <w:r w:rsidR="00000272">
        <w:rPr>
          <w:rFonts w:ascii="Garamond" w:hAnsi="Garamond"/>
          <w:sz w:val="25"/>
          <w:szCs w:val="25"/>
        </w:rPr>
        <w:t>)</w:t>
      </w:r>
      <w:r w:rsidRPr="00CB4C42">
        <w:rPr>
          <w:rFonts w:ascii="Garamond" w:hAnsi="Garamond"/>
          <w:sz w:val="25"/>
          <w:szCs w:val="25"/>
        </w:rPr>
        <w:t xml:space="preserve">, l’ipotesi </w:t>
      </w:r>
      <w:r w:rsidR="00302960" w:rsidRPr="00CB4C42">
        <w:rPr>
          <w:rFonts w:ascii="Garamond" w:hAnsi="Garamond"/>
          <w:sz w:val="25"/>
          <w:szCs w:val="25"/>
        </w:rPr>
        <w:t xml:space="preserve">di cui all’art. 2 d. </w:t>
      </w:r>
      <w:proofErr w:type="spellStart"/>
      <w:r w:rsidR="00302960" w:rsidRPr="00CB4C42">
        <w:rPr>
          <w:rFonts w:ascii="Garamond" w:hAnsi="Garamond"/>
          <w:sz w:val="25"/>
          <w:szCs w:val="25"/>
        </w:rPr>
        <w:t>lgs</w:t>
      </w:r>
      <w:proofErr w:type="spellEnd"/>
      <w:r w:rsidR="00302960" w:rsidRPr="00CB4C42">
        <w:rPr>
          <w:rFonts w:ascii="Garamond" w:hAnsi="Garamond"/>
          <w:sz w:val="25"/>
          <w:szCs w:val="25"/>
        </w:rPr>
        <w:t>. 81/2015</w:t>
      </w:r>
      <w:r w:rsidR="00D91A64" w:rsidRPr="00CB4C42">
        <w:rPr>
          <w:rFonts w:ascii="Garamond" w:hAnsi="Garamond"/>
          <w:sz w:val="25"/>
          <w:szCs w:val="25"/>
        </w:rPr>
        <w:t xml:space="preserve"> sia stata definita </w:t>
      </w:r>
      <w:r w:rsidRPr="00CB4C42">
        <w:rPr>
          <w:rFonts w:ascii="Garamond" w:hAnsi="Garamond"/>
          <w:sz w:val="25"/>
          <w:szCs w:val="25"/>
        </w:rPr>
        <w:t xml:space="preserve">attraverso più </w:t>
      </w:r>
      <w:r w:rsidR="00D91A64" w:rsidRPr="00CB4C42">
        <w:rPr>
          <w:rFonts w:ascii="Garamond" w:hAnsi="Garamond"/>
          <w:sz w:val="25"/>
          <w:szCs w:val="25"/>
        </w:rPr>
        <w:t>elementi di</w:t>
      </w:r>
      <w:r w:rsidRPr="00CB4C42">
        <w:rPr>
          <w:rFonts w:ascii="Garamond" w:hAnsi="Garamond"/>
          <w:sz w:val="25"/>
          <w:szCs w:val="25"/>
        </w:rPr>
        <w:t xml:space="preserve"> fattispecie</w:t>
      </w:r>
      <w:r w:rsidR="00302960">
        <w:rPr>
          <w:rFonts w:ascii="Garamond" w:hAnsi="Garamond"/>
          <w:sz w:val="25"/>
          <w:szCs w:val="25"/>
        </w:rPr>
        <w:t xml:space="preserve">, chiamati alla contemporanea sussistenza. </w:t>
      </w:r>
    </w:p>
    <w:p w:rsidR="00210E54" w:rsidRPr="00CB4C42" w:rsidRDefault="00302960" w:rsidP="003956E0">
      <w:pPr>
        <w:ind w:right="424" w:firstLine="709"/>
        <w:jc w:val="both"/>
        <w:rPr>
          <w:rFonts w:ascii="Garamond" w:hAnsi="Garamond"/>
          <w:sz w:val="25"/>
          <w:szCs w:val="25"/>
        </w:rPr>
      </w:pPr>
      <w:r>
        <w:rPr>
          <w:rFonts w:ascii="Garamond" w:hAnsi="Garamond"/>
          <w:sz w:val="25"/>
          <w:szCs w:val="25"/>
        </w:rPr>
        <w:t>In questa prospettiva, senza ridefinire elementi già esaminati, appare evidente com</w:t>
      </w:r>
      <w:r w:rsidR="00741DFC" w:rsidRPr="00CB4C42">
        <w:rPr>
          <w:rFonts w:ascii="Garamond" w:hAnsi="Garamond"/>
          <w:sz w:val="25"/>
          <w:szCs w:val="25"/>
        </w:rPr>
        <w:t>e la etero</w:t>
      </w:r>
      <w:r>
        <w:rPr>
          <w:rFonts w:ascii="Garamond" w:hAnsi="Garamond"/>
          <w:sz w:val="25"/>
          <w:szCs w:val="25"/>
        </w:rPr>
        <w:t>-</w:t>
      </w:r>
      <w:r w:rsidR="00741DFC" w:rsidRPr="00CB4C42">
        <w:rPr>
          <w:rFonts w:ascii="Garamond" w:hAnsi="Garamond"/>
          <w:sz w:val="25"/>
          <w:szCs w:val="25"/>
        </w:rPr>
        <w:t>organizzazione altro non sia che una manifestazione del potere direttivo, di modo che il lavoro etero-organizzato altro non è che il lavoro descritto all’art. 2094 c.c.</w:t>
      </w:r>
      <w:r w:rsidR="00C04A61" w:rsidRPr="00CB4C42">
        <w:rPr>
          <w:rFonts w:ascii="Garamond" w:hAnsi="Garamond"/>
          <w:sz w:val="25"/>
          <w:szCs w:val="25"/>
        </w:rPr>
        <w:t xml:space="preserve">, </w:t>
      </w:r>
      <w:r>
        <w:rPr>
          <w:rFonts w:ascii="Garamond" w:hAnsi="Garamond"/>
          <w:sz w:val="25"/>
          <w:szCs w:val="25"/>
        </w:rPr>
        <w:t xml:space="preserve">cui si aggiungono previsioni ulteriori in tema di </w:t>
      </w:r>
      <w:r w:rsidRPr="00302960">
        <w:rPr>
          <w:rFonts w:ascii="Garamond" w:hAnsi="Garamond"/>
          <w:sz w:val="25"/>
          <w:szCs w:val="25"/>
        </w:rPr>
        <w:t>tempi e luogo di lavoro</w:t>
      </w:r>
      <w:r>
        <w:rPr>
          <w:rFonts w:ascii="Garamond" w:hAnsi="Garamond"/>
          <w:sz w:val="25"/>
          <w:szCs w:val="25"/>
        </w:rPr>
        <w:t>, che</w:t>
      </w:r>
      <w:r w:rsidR="00C04A61" w:rsidRPr="00CB4C42">
        <w:rPr>
          <w:rFonts w:ascii="Garamond" w:hAnsi="Garamond"/>
          <w:sz w:val="25"/>
          <w:szCs w:val="25"/>
        </w:rPr>
        <w:t xml:space="preserve"> finiscono per disegnare un cerchio di più ridotta area rispetto a quello di cui all’art. 2094 c.c.</w:t>
      </w:r>
    </w:p>
    <w:p w:rsidR="00741DFC" w:rsidRDefault="00741DFC" w:rsidP="003956E0">
      <w:pPr>
        <w:ind w:right="424" w:firstLine="709"/>
        <w:jc w:val="both"/>
        <w:rPr>
          <w:rFonts w:ascii="Garamond" w:hAnsi="Garamond"/>
          <w:sz w:val="25"/>
          <w:szCs w:val="25"/>
        </w:rPr>
      </w:pPr>
      <w:r w:rsidRPr="00CB4C42">
        <w:rPr>
          <w:rFonts w:ascii="Garamond" w:hAnsi="Garamond"/>
          <w:sz w:val="25"/>
          <w:szCs w:val="25"/>
        </w:rPr>
        <w:t>A</w:t>
      </w:r>
      <w:r w:rsidR="00C04A61" w:rsidRPr="00CB4C42">
        <w:rPr>
          <w:rFonts w:ascii="Garamond" w:hAnsi="Garamond"/>
          <w:sz w:val="25"/>
          <w:szCs w:val="25"/>
        </w:rPr>
        <w:t>lla parificazione fra etero-organizzazione ed etero-direzione</w:t>
      </w:r>
      <w:r w:rsidRPr="00CB4C42">
        <w:rPr>
          <w:rFonts w:ascii="Garamond" w:hAnsi="Garamond"/>
          <w:sz w:val="25"/>
          <w:szCs w:val="25"/>
        </w:rPr>
        <w:t xml:space="preserve"> si giunge </w:t>
      </w:r>
      <w:r w:rsidR="00302960">
        <w:rPr>
          <w:rFonts w:ascii="Garamond" w:hAnsi="Garamond"/>
          <w:sz w:val="25"/>
          <w:szCs w:val="25"/>
        </w:rPr>
        <w:t xml:space="preserve">(prima ancora dell’analisi degli esiti giurisprudenziali) </w:t>
      </w:r>
      <w:r w:rsidRPr="00CB4C42">
        <w:rPr>
          <w:rFonts w:ascii="Garamond" w:hAnsi="Garamond"/>
          <w:sz w:val="25"/>
          <w:szCs w:val="25"/>
        </w:rPr>
        <w:t>sulla scorta dell’art. 2095 c.c. che, nel parificare sul piano della qualificazione del rapporto come subordinato, diri</w:t>
      </w:r>
      <w:r w:rsidR="00C04A61" w:rsidRPr="00CB4C42">
        <w:rPr>
          <w:rFonts w:ascii="Garamond" w:hAnsi="Garamond"/>
          <w:sz w:val="25"/>
          <w:szCs w:val="25"/>
        </w:rPr>
        <w:t xml:space="preserve">gente </w:t>
      </w:r>
      <w:r w:rsidRPr="00CB4C42">
        <w:rPr>
          <w:rFonts w:ascii="Garamond" w:hAnsi="Garamond"/>
          <w:sz w:val="25"/>
          <w:szCs w:val="25"/>
        </w:rPr>
        <w:t>ed operaio</w:t>
      </w:r>
      <w:r w:rsidR="00302960">
        <w:rPr>
          <w:rFonts w:ascii="Garamond" w:hAnsi="Garamond"/>
          <w:sz w:val="25"/>
          <w:szCs w:val="25"/>
        </w:rPr>
        <w:t>,</w:t>
      </w:r>
      <w:r w:rsidRPr="00CB4C42">
        <w:rPr>
          <w:rFonts w:ascii="Garamond" w:hAnsi="Garamond"/>
          <w:sz w:val="25"/>
          <w:szCs w:val="25"/>
        </w:rPr>
        <w:t xml:space="preserve"> intende chiaramente estendere la fattispecie di riferimento </w:t>
      </w:r>
      <w:r w:rsidR="00302960">
        <w:rPr>
          <w:rFonts w:ascii="Garamond" w:hAnsi="Garamond"/>
          <w:sz w:val="25"/>
          <w:szCs w:val="25"/>
        </w:rPr>
        <w:t xml:space="preserve">molto </w:t>
      </w:r>
      <w:r w:rsidRPr="00CB4C42">
        <w:rPr>
          <w:rFonts w:ascii="Garamond" w:hAnsi="Garamond"/>
          <w:sz w:val="25"/>
          <w:szCs w:val="25"/>
        </w:rPr>
        <w:t xml:space="preserve">oltre </w:t>
      </w:r>
      <w:r w:rsidR="00302960">
        <w:rPr>
          <w:rFonts w:ascii="Garamond" w:hAnsi="Garamond"/>
          <w:sz w:val="25"/>
          <w:szCs w:val="25"/>
        </w:rPr>
        <w:t>l’addetto a</w:t>
      </w:r>
      <w:r w:rsidRPr="00CB4C42">
        <w:rPr>
          <w:rFonts w:ascii="Garamond" w:hAnsi="Garamond"/>
          <w:sz w:val="25"/>
          <w:szCs w:val="25"/>
        </w:rPr>
        <w:t>lla catena di montaggi</w:t>
      </w:r>
      <w:r w:rsidR="00302960">
        <w:rPr>
          <w:rFonts w:ascii="Garamond" w:hAnsi="Garamond"/>
          <w:sz w:val="25"/>
          <w:szCs w:val="25"/>
        </w:rPr>
        <w:t>o</w:t>
      </w:r>
      <w:r w:rsidRPr="00CB4C42">
        <w:rPr>
          <w:rFonts w:ascii="Garamond" w:hAnsi="Garamond"/>
          <w:sz w:val="25"/>
          <w:szCs w:val="25"/>
        </w:rPr>
        <w:t xml:space="preserve"> che tanta letteratura si ostina a considerare come il punto di riferimento del</w:t>
      </w:r>
      <w:r w:rsidR="00302960">
        <w:rPr>
          <w:rFonts w:ascii="Garamond" w:hAnsi="Garamond"/>
          <w:sz w:val="25"/>
          <w:szCs w:val="25"/>
        </w:rPr>
        <w:t xml:space="preserve"> codice civile</w:t>
      </w:r>
      <w:r w:rsidRPr="00CB4C42">
        <w:rPr>
          <w:rFonts w:ascii="Garamond" w:hAnsi="Garamond"/>
          <w:sz w:val="25"/>
          <w:szCs w:val="25"/>
        </w:rPr>
        <w:t>.</w:t>
      </w:r>
      <w:r w:rsidR="00C04A61" w:rsidRPr="00CB4C42">
        <w:rPr>
          <w:rFonts w:ascii="Garamond" w:hAnsi="Garamond"/>
          <w:sz w:val="25"/>
          <w:szCs w:val="25"/>
        </w:rPr>
        <w:t xml:space="preserve"> Il punto appare evidente se solo si riflette sul fatto che la norma del 1942 specificava che la dirigenza era anche quella </w:t>
      </w:r>
      <w:r w:rsidR="00000272">
        <w:rPr>
          <w:rFonts w:ascii="Garamond" w:hAnsi="Garamond"/>
          <w:sz w:val="25"/>
          <w:szCs w:val="25"/>
        </w:rPr>
        <w:t>“</w:t>
      </w:r>
      <w:r w:rsidR="00C04A61" w:rsidRPr="00CB4C42">
        <w:rPr>
          <w:rFonts w:ascii="Garamond" w:hAnsi="Garamond"/>
          <w:sz w:val="25"/>
          <w:szCs w:val="25"/>
        </w:rPr>
        <w:t>tecnica</w:t>
      </w:r>
      <w:r w:rsidR="00000272">
        <w:rPr>
          <w:rFonts w:ascii="Garamond" w:hAnsi="Garamond"/>
          <w:sz w:val="25"/>
          <w:szCs w:val="25"/>
        </w:rPr>
        <w:t>” (con previsione poi eliminata dalla l. n. 190/85)</w:t>
      </w:r>
      <w:r w:rsidR="00C04A61" w:rsidRPr="00CB4C42">
        <w:rPr>
          <w:rFonts w:ascii="Garamond" w:hAnsi="Garamond"/>
          <w:sz w:val="25"/>
          <w:szCs w:val="25"/>
        </w:rPr>
        <w:t>, lasciando perfettamente intendere che in tal caso il solo potere direttivo esercitabile non poteva che essere quello attinente all’inserimento della prestazione resa</w:t>
      </w:r>
      <w:r w:rsidR="00000272">
        <w:rPr>
          <w:rFonts w:ascii="Garamond" w:hAnsi="Garamond"/>
          <w:sz w:val="25"/>
          <w:szCs w:val="25"/>
        </w:rPr>
        <w:t>,</w:t>
      </w:r>
      <w:r w:rsidR="00C04A61" w:rsidRPr="00CB4C42">
        <w:rPr>
          <w:rFonts w:ascii="Garamond" w:hAnsi="Garamond"/>
          <w:sz w:val="25"/>
          <w:szCs w:val="25"/>
        </w:rPr>
        <w:t xml:space="preserve"> nell’ambito della più ampia organizzazione d’impresa, governata dall’impulso gerarchico dell’imprenditore </w:t>
      </w:r>
      <w:r w:rsidR="006C2478" w:rsidRPr="00CB4C42">
        <w:rPr>
          <w:rFonts w:ascii="Garamond" w:hAnsi="Garamond"/>
          <w:sz w:val="25"/>
          <w:szCs w:val="25"/>
        </w:rPr>
        <w:t>(</w:t>
      </w:r>
      <w:r w:rsidR="00C04A61" w:rsidRPr="00CB4C42">
        <w:rPr>
          <w:rFonts w:ascii="Garamond" w:hAnsi="Garamond"/>
          <w:sz w:val="25"/>
          <w:szCs w:val="25"/>
        </w:rPr>
        <w:t>art. 2086 c.c.).</w:t>
      </w:r>
    </w:p>
    <w:p w:rsidR="00000272" w:rsidRPr="00CB4C42" w:rsidRDefault="00000272" w:rsidP="003956E0">
      <w:pPr>
        <w:ind w:right="424" w:firstLine="709"/>
        <w:jc w:val="both"/>
        <w:rPr>
          <w:rFonts w:ascii="Garamond" w:hAnsi="Garamond"/>
          <w:sz w:val="25"/>
          <w:szCs w:val="25"/>
        </w:rPr>
      </w:pPr>
      <w:r>
        <w:rPr>
          <w:rFonts w:ascii="Garamond" w:hAnsi="Garamond"/>
          <w:sz w:val="25"/>
          <w:szCs w:val="25"/>
        </w:rPr>
        <w:t>E tanto dovrebbe bastare per risolvere la questione.</w:t>
      </w:r>
    </w:p>
    <w:p w:rsidR="00000272" w:rsidRDefault="00000272" w:rsidP="006C2478">
      <w:pPr>
        <w:ind w:right="424" w:firstLine="709"/>
        <w:jc w:val="both"/>
        <w:rPr>
          <w:rFonts w:ascii="Garamond" w:hAnsi="Garamond"/>
          <w:sz w:val="25"/>
          <w:szCs w:val="25"/>
        </w:rPr>
      </w:pPr>
    </w:p>
    <w:p w:rsidR="006C2478" w:rsidRPr="00CB4C42" w:rsidRDefault="00000272" w:rsidP="006C2478">
      <w:pPr>
        <w:ind w:right="424" w:firstLine="709"/>
        <w:jc w:val="both"/>
        <w:rPr>
          <w:rFonts w:ascii="Garamond" w:hAnsi="Garamond"/>
          <w:sz w:val="25"/>
          <w:szCs w:val="25"/>
        </w:rPr>
      </w:pPr>
      <w:r w:rsidRPr="00000272">
        <w:rPr>
          <w:rFonts w:ascii="Garamond" w:hAnsi="Garamond"/>
          <w:b/>
          <w:sz w:val="25"/>
          <w:szCs w:val="25"/>
        </w:rPr>
        <w:t>4.</w:t>
      </w:r>
      <w:r>
        <w:rPr>
          <w:rFonts w:ascii="Garamond" w:hAnsi="Garamond"/>
          <w:sz w:val="25"/>
          <w:szCs w:val="25"/>
        </w:rPr>
        <w:t xml:space="preserve"> </w:t>
      </w:r>
      <w:r w:rsidR="006C2478" w:rsidRPr="00CB4C42">
        <w:rPr>
          <w:rFonts w:ascii="Garamond" w:hAnsi="Garamond"/>
          <w:sz w:val="25"/>
          <w:szCs w:val="25"/>
        </w:rPr>
        <w:t>Restano così da analizzare le previgenti previsioni per provare a definirne la sorte</w:t>
      </w:r>
      <w:r>
        <w:rPr>
          <w:rFonts w:ascii="Garamond" w:hAnsi="Garamond"/>
          <w:sz w:val="25"/>
          <w:szCs w:val="25"/>
        </w:rPr>
        <w:t xml:space="preserve"> delle collaborazione</w:t>
      </w:r>
      <w:r w:rsidR="006C2478" w:rsidRPr="00CB4C42">
        <w:rPr>
          <w:rFonts w:ascii="Garamond" w:hAnsi="Garamond"/>
          <w:sz w:val="25"/>
          <w:szCs w:val="25"/>
        </w:rPr>
        <w:t xml:space="preserve">, </w:t>
      </w:r>
      <w:r>
        <w:rPr>
          <w:rFonts w:ascii="Garamond" w:hAnsi="Garamond"/>
          <w:sz w:val="25"/>
          <w:szCs w:val="25"/>
        </w:rPr>
        <w:t xml:space="preserve">laddove queste non si trasformino in lavoro subordinato, a mente dell’art. 54 </w:t>
      </w:r>
      <w:r w:rsidR="006C2478" w:rsidRPr="00CB4C42">
        <w:rPr>
          <w:rFonts w:ascii="Garamond" w:hAnsi="Garamond"/>
          <w:sz w:val="25"/>
          <w:szCs w:val="25"/>
        </w:rPr>
        <w:t xml:space="preserve">del d. </w:t>
      </w:r>
      <w:proofErr w:type="spellStart"/>
      <w:r w:rsidR="006C2478" w:rsidRPr="00CB4C42">
        <w:rPr>
          <w:rFonts w:ascii="Garamond" w:hAnsi="Garamond"/>
          <w:sz w:val="25"/>
          <w:szCs w:val="25"/>
        </w:rPr>
        <w:t>lgs</w:t>
      </w:r>
      <w:proofErr w:type="spellEnd"/>
      <w:r w:rsidR="006C2478" w:rsidRPr="00CB4C42">
        <w:rPr>
          <w:rFonts w:ascii="Garamond" w:hAnsi="Garamond"/>
          <w:sz w:val="25"/>
          <w:szCs w:val="25"/>
        </w:rPr>
        <w:t>. 81/2015.</w:t>
      </w:r>
    </w:p>
    <w:p w:rsidR="00741DFC" w:rsidRPr="00CB4C42" w:rsidRDefault="003956E0" w:rsidP="003956E0">
      <w:pPr>
        <w:ind w:right="424" w:firstLine="709"/>
        <w:jc w:val="both"/>
        <w:rPr>
          <w:rFonts w:ascii="Garamond" w:hAnsi="Garamond"/>
          <w:sz w:val="25"/>
          <w:szCs w:val="25"/>
        </w:rPr>
      </w:pPr>
      <w:r w:rsidRPr="00CB4C42">
        <w:rPr>
          <w:rFonts w:ascii="Garamond" w:hAnsi="Garamond"/>
          <w:sz w:val="25"/>
          <w:szCs w:val="25"/>
        </w:rPr>
        <w:t>In primo luogo, si deve ritenere che essendo la fattispecie del lavoro a progetto specificazione del contratto d’opera</w:t>
      </w:r>
      <w:r w:rsidR="00000272">
        <w:rPr>
          <w:rFonts w:ascii="Garamond" w:hAnsi="Garamond"/>
          <w:sz w:val="25"/>
          <w:szCs w:val="25"/>
        </w:rPr>
        <w:t>,</w:t>
      </w:r>
      <w:r w:rsidRPr="00CB4C42">
        <w:rPr>
          <w:rFonts w:ascii="Garamond" w:hAnsi="Garamond"/>
          <w:sz w:val="25"/>
          <w:szCs w:val="25"/>
        </w:rPr>
        <w:t xml:space="preserve"> la sua abrogazione, non accompagnata dal permanere in vita delle presunzioni antielusive </w:t>
      </w:r>
      <w:r w:rsidR="006C2478" w:rsidRPr="00CB4C42">
        <w:rPr>
          <w:rFonts w:ascii="Garamond" w:hAnsi="Garamond"/>
          <w:sz w:val="25"/>
          <w:szCs w:val="25"/>
        </w:rPr>
        <w:t xml:space="preserve">della </w:t>
      </w:r>
      <w:r w:rsidR="00000272">
        <w:rPr>
          <w:rFonts w:ascii="Garamond" w:hAnsi="Garamond"/>
          <w:sz w:val="25"/>
          <w:szCs w:val="25"/>
        </w:rPr>
        <w:t>“</w:t>
      </w:r>
      <w:r w:rsidR="006C2478" w:rsidRPr="00CB4C42">
        <w:rPr>
          <w:rFonts w:ascii="Garamond" w:hAnsi="Garamond"/>
          <w:sz w:val="25"/>
          <w:szCs w:val="25"/>
        </w:rPr>
        <w:t>legge Fornero</w:t>
      </w:r>
      <w:r w:rsidR="00000272">
        <w:rPr>
          <w:rFonts w:ascii="Garamond" w:hAnsi="Garamond"/>
          <w:sz w:val="25"/>
          <w:szCs w:val="25"/>
        </w:rPr>
        <w:t>”</w:t>
      </w:r>
      <w:r w:rsidR="006C2478" w:rsidRPr="00CB4C42">
        <w:rPr>
          <w:rFonts w:ascii="Garamond" w:hAnsi="Garamond"/>
          <w:sz w:val="25"/>
          <w:szCs w:val="25"/>
        </w:rPr>
        <w:t xml:space="preserve">, </w:t>
      </w:r>
      <w:r w:rsidRPr="00CB4C42">
        <w:rPr>
          <w:rFonts w:ascii="Garamond" w:hAnsi="Garamond"/>
          <w:sz w:val="25"/>
          <w:szCs w:val="25"/>
        </w:rPr>
        <w:t>valga senz’altro a consentire la perdurante vigenza dei contratti qualificati come tali, purch</w:t>
      </w:r>
      <w:r w:rsidR="00000272">
        <w:rPr>
          <w:rFonts w:ascii="Garamond" w:hAnsi="Garamond"/>
          <w:sz w:val="25"/>
          <w:szCs w:val="25"/>
        </w:rPr>
        <w:t>é</w:t>
      </w:r>
      <w:r w:rsidRPr="00CB4C42">
        <w:rPr>
          <w:rFonts w:ascii="Garamond" w:hAnsi="Garamond"/>
          <w:sz w:val="25"/>
          <w:szCs w:val="25"/>
        </w:rPr>
        <w:t xml:space="preserve"> manchi anche solo uno degli elementi dell’art. 2 d. </w:t>
      </w:r>
      <w:proofErr w:type="spellStart"/>
      <w:r w:rsidRPr="00CB4C42">
        <w:rPr>
          <w:rFonts w:ascii="Garamond" w:hAnsi="Garamond"/>
          <w:sz w:val="25"/>
          <w:szCs w:val="25"/>
        </w:rPr>
        <w:t>lgs</w:t>
      </w:r>
      <w:proofErr w:type="spellEnd"/>
      <w:r w:rsidRPr="00CB4C42">
        <w:rPr>
          <w:rFonts w:ascii="Garamond" w:hAnsi="Garamond"/>
          <w:sz w:val="25"/>
          <w:szCs w:val="25"/>
        </w:rPr>
        <w:t>. 81/2015</w:t>
      </w:r>
      <w:r w:rsidR="00000272">
        <w:rPr>
          <w:rFonts w:ascii="Garamond" w:hAnsi="Garamond"/>
          <w:sz w:val="25"/>
          <w:szCs w:val="25"/>
        </w:rPr>
        <w:t xml:space="preserve">: ed invero pare difficile ammettere che la qualificazione </w:t>
      </w:r>
      <w:proofErr w:type="spellStart"/>
      <w:r w:rsidR="00000272">
        <w:rPr>
          <w:rFonts w:ascii="Garamond" w:hAnsi="Garamond"/>
          <w:sz w:val="25"/>
          <w:szCs w:val="25"/>
        </w:rPr>
        <w:t>ope</w:t>
      </w:r>
      <w:proofErr w:type="spellEnd"/>
      <w:r w:rsidR="00000272">
        <w:rPr>
          <w:rFonts w:ascii="Garamond" w:hAnsi="Garamond"/>
          <w:sz w:val="25"/>
          <w:szCs w:val="25"/>
        </w:rPr>
        <w:t xml:space="preserve"> </w:t>
      </w:r>
      <w:proofErr w:type="spellStart"/>
      <w:r w:rsidR="00000272">
        <w:rPr>
          <w:rFonts w:ascii="Garamond" w:hAnsi="Garamond"/>
          <w:sz w:val="25"/>
          <w:szCs w:val="25"/>
        </w:rPr>
        <w:t>legis</w:t>
      </w:r>
      <w:proofErr w:type="spellEnd"/>
      <w:r w:rsidR="00000272">
        <w:rPr>
          <w:rFonts w:ascii="Garamond" w:hAnsi="Garamond"/>
          <w:sz w:val="25"/>
          <w:szCs w:val="25"/>
        </w:rPr>
        <w:t xml:space="preserve"> possa operare in assenza anche di uno solo dei requisiti, non potendo qui darsi ingresso ad un’operazione interpretativa di tipo sussuntivo, in assenza della definizione di un vero e proprio tipo contrattuale</w:t>
      </w:r>
      <w:r w:rsidRPr="00CB4C42">
        <w:rPr>
          <w:rFonts w:ascii="Garamond" w:hAnsi="Garamond"/>
          <w:sz w:val="25"/>
          <w:szCs w:val="25"/>
        </w:rPr>
        <w:t>.</w:t>
      </w:r>
      <w:r w:rsidR="00000272">
        <w:rPr>
          <w:rFonts w:ascii="Garamond" w:hAnsi="Garamond"/>
          <w:sz w:val="25"/>
          <w:szCs w:val="25"/>
        </w:rPr>
        <w:t xml:space="preserve"> </w:t>
      </w:r>
      <w:r w:rsidRPr="00CB4C42">
        <w:rPr>
          <w:rFonts w:ascii="Garamond" w:hAnsi="Garamond"/>
          <w:sz w:val="25"/>
          <w:szCs w:val="25"/>
        </w:rPr>
        <w:t xml:space="preserve">Tale soluzione peraltro si proietta in una fase transitoria tendenzialmente senza fine, poiché nulla mi sembra impedire il rinnovo </w:t>
      </w:r>
      <w:r w:rsidR="00000272" w:rsidRPr="00000272">
        <w:rPr>
          <w:rFonts w:ascii="Garamond" w:hAnsi="Garamond"/>
          <w:i/>
          <w:sz w:val="25"/>
          <w:szCs w:val="25"/>
        </w:rPr>
        <w:t>sine die</w:t>
      </w:r>
      <w:r w:rsidR="00000272">
        <w:rPr>
          <w:rFonts w:ascii="Garamond" w:hAnsi="Garamond"/>
          <w:sz w:val="25"/>
          <w:szCs w:val="25"/>
        </w:rPr>
        <w:t xml:space="preserve"> </w:t>
      </w:r>
      <w:r w:rsidRPr="00CB4C42">
        <w:rPr>
          <w:rFonts w:ascii="Garamond" w:hAnsi="Garamond"/>
          <w:sz w:val="25"/>
          <w:szCs w:val="25"/>
        </w:rPr>
        <w:t>dei cont</w:t>
      </w:r>
      <w:r w:rsidR="006C2478" w:rsidRPr="00CB4C42">
        <w:rPr>
          <w:rFonts w:ascii="Garamond" w:hAnsi="Garamond"/>
          <w:sz w:val="25"/>
          <w:szCs w:val="25"/>
        </w:rPr>
        <w:t>ratti in vigore alla data del 1°</w:t>
      </w:r>
      <w:r w:rsidR="00000272">
        <w:rPr>
          <w:rFonts w:ascii="Garamond" w:hAnsi="Garamond"/>
          <w:sz w:val="25"/>
          <w:szCs w:val="25"/>
        </w:rPr>
        <w:t xml:space="preserve"> gennaio 2016 (art. 52.1 d. </w:t>
      </w:r>
      <w:proofErr w:type="spellStart"/>
      <w:r w:rsidR="00000272">
        <w:rPr>
          <w:rFonts w:ascii="Garamond" w:hAnsi="Garamond"/>
          <w:sz w:val="25"/>
          <w:szCs w:val="25"/>
        </w:rPr>
        <w:t>lgs</w:t>
      </w:r>
      <w:proofErr w:type="spellEnd"/>
      <w:r w:rsidR="00000272">
        <w:rPr>
          <w:rFonts w:ascii="Garamond" w:hAnsi="Garamond"/>
          <w:sz w:val="25"/>
          <w:szCs w:val="25"/>
        </w:rPr>
        <w:t>. n. 81).</w:t>
      </w:r>
      <w:r w:rsidRPr="00CB4C42">
        <w:rPr>
          <w:rFonts w:ascii="Garamond" w:hAnsi="Garamond"/>
          <w:sz w:val="25"/>
          <w:szCs w:val="25"/>
        </w:rPr>
        <w:t xml:space="preserve"> </w:t>
      </w:r>
    </w:p>
    <w:p w:rsidR="003956E0" w:rsidRPr="00CB4C42" w:rsidRDefault="003956E0" w:rsidP="003956E0">
      <w:pPr>
        <w:ind w:right="424" w:firstLine="709"/>
        <w:jc w:val="both"/>
        <w:rPr>
          <w:rFonts w:ascii="Garamond" w:hAnsi="Garamond"/>
          <w:sz w:val="25"/>
          <w:szCs w:val="25"/>
        </w:rPr>
      </w:pPr>
      <w:r w:rsidRPr="00CB4C42">
        <w:rPr>
          <w:rFonts w:ascii="Garamond" w:hAnsi="Garamond"/>
          <w:sz w:val="25"/>
          <w:szCs w:val="25"/>
        </w:rPr>
        <w:t xml:space="preserve">Nello stesso senso pare difficile sostenere che sussista un divieto alla stipula di nuovi contratti a progetto sulla </w:t>
      </w:r>
      <w:r w:rsidR="006C2478" w:rsidRPr="00CB4C42">
        <w:rPr>
          <w:rFonts w:ascii="Garamond" w:hAnsi="Garamond"/>
          <w:sz w:val="25"/>
          <w:szCs w:val="25"/>
        </w:rPr>
        <w:t>base</w:t>
      </w:r>
      <w:r w:rsidRPr="00CB4C42">
        <w:rPr>
          <w:rFonts w:ascii="Garamond" w:hAnsi="Garamond"/>
          <w:sz w:val="25"/>
          <w:szCs w:val="25"/>
        </w:rPr>
        <w:t xml:space="preserve"> </w:t>
      </w:r>
      <w:r w:rsidR="006C2478" w:rsidRPr="00CB4C42">
        <w:rPr>
          <w:rFonts w:ascii="Garamond" w:hAnsi="Garamond"/>
          <w:sz w:val="25"/>
          <w:szCs w:val="25"/>
        </w:rPr>
        <w:t xml:space="preserve">del riconoscimento </w:t>
      </w:r>
      <w:r w:rsidR="00000272">
        <w:rPr>
          <w:rFonts w:ascii="Garamond" w:hAnsi="Garamond"/>
          <w:sz w:val="25"/>
          <w:szCs w:val="25"/>
        </w:rPr>
        <w:t xml:space="preserve">dei poteri </w:t>
      </w:r>
      <w:r w:rsidRPr="00CB4C42">
        <w:rPr>
          <w:rFonts w:ascii="Garamond" w:hAnsi="Garamond"/>
          <w:sz w:val="25"/>
          <w:szCs w:val="25"/>
        </w:rPr>
        <w:t xml:space="preserve">dell’autonomia negoziale di cui all’art. 1322 co. </w:t>
      </w:r>
      <w:r w:rsidR="006C2478" w:rsidRPr="00CB4C42">
        <w:rPr>
          <w:rFonts w:ascii="Garamond" w:hAnsi="Garamond"/>
          <w:sz w:val="25"/>
          <w:szCs w:val="25"/>
        </w:rPr>
        <w:t xml:space="preserve">2° c.c., </w:t>
      </w:r>
      <w:r w:rsidR="00000272">
        <w:rPr>
          <w:rFonts w:ascii="Garamond" w:hAnsi="Garamond"/>
          <w:sz w:val="25"/>
          <w:szCs w:val="25"/>
        </w:rPr>
        <w:t xml:space="preserve">ed </w:t>
      </w:r>
      <w:r w:rsidRPr="00CB4C42">
        <w:rPr>
          <w:rFonts w:ascii="Garamond" w:hAnsi="Garamond"/>
          <w:sz w:val="25"/>
          <w:szCs w:val="25"/>
        </w:rPr>
        <w:t>anche a fronte del permanere in vigore della disciplina tributaria o previdenziale.</w:t>
      </w:r>
    </w:p>
    <w:p w:rsidR="003956E0" w:rsidRPr="00CB4C42" w:rsidRDefault="003956E0" w:rsidP="006C2478">
      <w:pPr>
        <w:ind w:right="424" w:firstLine="709"/>
        <w:jc w:val="both"/>
        <w:rPr>
          <w:rFonts w:ascii="Garamond" w:hAnsi="Garamond"/>
          <w:sz w:val="25"/>
          <w:szCs w:val="25"/>
        </w:rPr>
      </w:pPr>
      <w:r w:rsidRPr="00CB4C42">
        <w:rPr>
          <w:rFonts w:ascii="Garamond" w:hAnsi="Garamond"/>
          <w:sz w:val="25"/>
          <w:szCs w:val="25"/>
        </w:rPr>
        <w:lastRenderedPageBreak/>
        <w:t xml:space="preserve">Si deve peraltro valutare se, abrogate le presunzioni di cui all’art. 69 </w:t>
      </w:r>
      <w:r w:rsidRPr="00000272">
        <w:rPr>
          <w:rFonts w:ascii="Garamond" w:hAnsi="Garamond"/>
          <w:i/>
          <w:sz w:val="25"/>
          <w:szCs w:val="25"/>
        </w:rPr>
        <w:t>bis</w:t>
      </w:r>
      <w:r w:rsidR="00000272">
        <w:rPr>
          <w:rFonts w:ascii="Garamond" w:hAnsi="Garamond"/>
          <w:sz w:val="25"/>
          <w:szCs w:val="25"/>
        </w:rPr>
        <w:t xml:space="preserve"> d. </w:t>
      </w:r>
      <w:proofErr w:type="spellStart"/>
      <w:r w:rsidR="00000272">
        <w:rPr>
          <w:rFonts w:ascii="Garamond" w:hAnsi="Garamond"/>
          <w:sz w:val="25"/>
          <w:szCs w:val="25"/>
        </w:rPr>
        <w:t>lgs</w:t>
      </w:r>
      <w:proofErr w:type="spellEnd"/>
      <w:r w:rsidR="00000272">
        <w:rPr>
          <w:rFonts w:ascii="Garamond" w:hAnsi="Garamond"/>
          <w:sz w:val="25"/>
          <w:szCs w:val="25"/>
        </w:rPr>
        <w:t>. n. 276/03</w:t>
      </w:r>
      <w:r w:rsidRPr="00CB4C42">
        <w:rPr>
          <w:rFonts w:ascii="Garamond" w:hAnsi="Garamond"/>
          <w:sz w:val="25"/>
          <w:szCs w:val="25"/>
        </w:rPr>
        <w:t>, sia possibile stipulare contratti a progetto anche per ipotesi che, nel vigore</w:t>
      </w:r>
      <w:r w:rsidR="00000272">
        <w:rPr>
          <w:rFonts w:ascii="Garamond" w:hAnsi="Garamond"/>
          <w:sz w:val="25"/>
          <w:szCs w:val="25"/>
        </w:rPr>
        <w:t xml:space="preserve"> della disciplina del 2012</w:t>
      </w:r>
      <w:r w:rsidR="006C2478" w:rsidRPr="00CB4C42">
        <w:rPr>
          <w:rFonts w:ascii="Garamond" w:hAnsi="Garamond"/>
          <w:sz w:val="25"/>
          <w:szCs w:val="25"/>
        </w:rPr>
        <w:t>,</w:t>
      </w:r>
      <w:r w:rsidRPr="00CB4C42">
        <w:rPr>
          <w:rFonts w:ascii="Garamond" w:hAnsi="Garamond"/>
          <w:sz w:val="25"/>
          <w:szCs w:val="25"/>
        </w:rPr>
        <w:t xml:space="preserve"> finivano per essere</w:t>
      </w:r>
      <w:r w:rsidR="006C2478" w:rsidRPr="00CB4C42">
        <w:rPr>
          <w:rFonts w:ascii="Garamond" w:hAnsi="Garamond"/>
          <w:sz w:val="25"/>
          <w:szCs w:val="25"/>
        </w:rPr>
        <w:t xml:space="preserve"> considerate</w:t>
      </w:r>
      <w:r w:rsidRPr="00CB4C42">
        <w:rPr>
          <w:rFonts w:ascii="Garamond" w:hAnsi="Garamond"/>
          <w:sz w:val="25"/>
          <w:szCs w:val="25"/>
        </w:rPr>
        <w:t xml:space="preserve"> subordinate; a mio parere le presunzioni </w:t>
      </w:r>
      <w:r w:rsidR="00000272" w:rsidRPr="00CB4C42">
        <w:rPr>
          <w:rFonts w:ascii="Garamond" w:hAnsi="Garamond"/>
          <w:sz w:val="25"/>
          <w:szCs w:val="25"/>
        </w:rPr>
        <w:t xml:space="preserve">della </w:t>
      </w:r>
      <w:r w:rsidR="00000272">
        <w:rPr>
          <w:rFonts w:ascii="Garamond" w:hAnsi="Garamond"/>
          <w:sz w:val="25"/>
          <w:szCs w:val="25"/>
        </w:rPr>
        <w:t>“</w:t>
      </w:r>
      <w:r w:rsidR="00000272" w:rsidRPr="00CB4C42">
        <w:rPr>
          <w:rFonts w:ascii="Garamond" w:hAnsi="Garamond"/>
          <w:sz w:val="25"/>
          <w:szCs w:val="25"/>
        </w:rPr>
        <w:t>legge Fornero</w:t>
      </w:r>
      <w:r w:rsidR="00000272">
        <w:rPr>
          <w:rFonts w:ascii="Garamond" w:hAnsi="Garamond"/>
          <w:sz w:val="25"/>
          <w:szCs w:val="25"/>
        </w:rPr>
        <w:t>”</w:t>
      </w:r>
      <w:r w:rsidRPr="00CB4C42">
        <w:rPr>
          <w:rFonts w:ascii="Garamond" w:hAnsi="Garamond"/>
          <w:sz w:val="25"/>
          <w:szCs w:val="25"/>
        </w:rPr>
        <w:t xml:space="preserve"> erano solo relative e comunque </w:t>
      </w:r>
      <w:r w:rsidR="00000272">
        <w:rPr>
          <w:rFonts w:ascii="Garamond" w:hAnsi="Garamond"/>
          <w:sz w:val="25"/>
          <w:szCs w:val="25"/>
        </w:rPr>
        <w:t xml:space="preserve">ritengo che </w:t>
      </w:r>
      <w:r w:rsidRPr="00CB4C42">
        <w:rPr>
          <w:rFonts w:ascii="Garamond" w:hAnsi="Garamond"/>
          <w:sz w:val="25"/>
          <w:szCs w:val="25"/>
        </w:rPr>
        <w:t>nulla vieta ora al giudice di utilizzare quelle previsioni come presunzioni semplici sulla base dell’</w:t>
      </w:r>
      <w:r w:rsidRPr="00CB4C42">
        <w:rPr>
          <w:rFonts w:ascii="Garamond" w:hAnsi="Garamond"/>
          <w:i/>
          <w:sz w:val="25"/>
          <w:szCs w:val="25"/>
        </w:rPr>
        <w:t xml:space="preserve">id </w:t>
      </w:r>
      <w:proofErr w:type="spellStart"/>
      <w:r w:rsidRPr="00CB4C42">
        <w:rPr>
          <w:rFonts w:ascii="Garamond" w:hAnsi="Garamond"/>
          <w:i/>
          <w:sz w:val="25"/>
          <w:szCs w:val="25"/>
        </w:rPr>
        <w:t>quod</w:t>
      </w:r>
      <w:proofErr w:type="spellEnd"/>
      <w:r w:rsidRPr="00CB4C42">
        <w:rPr>
          <w:rFonts w:ascii="Garamond" w:hAnsi="Garamond"/>
          <w:i/>
          <w:sz w:val="25"/>
          <w:szCs w:val="25"/>
        </w:rPr>
        <w:t xml:space="preserve"> </w:t>
      </w:r>
      <w:proofErr w:type="spellStart"/>
      <w:r w:rsidRPr="00CB4C42">
        <w:rPr>
          <w:rFonts w:ascii="Garamond" w:hAnsi="Garamond"/>
          <w:i/>
          <w:sz w:val="25"/>
          <w:szCs w:val="25"/>
        </w:rPr>
        <w:t>plerumque</w:t>
      </w:r>
      <w:proofErr w:type="spellEnd"/>
      <w:r w:rsidRPr="00CB4C42">
        <w:rPr>
          <w:rFonts w:ascii="Garamond" w:hAnsi="Garamond"/>
          <w:i/>
          <w:sz w:val="25"/>
          <w:szCs w:val="25"/>
        </w:rPr>
        <w:t xml:space="preserve"> </w:t>
      </w:r>
      <w:proofErr w:type="spellStart"/>
      <w:r w:rsidRPr="00CB4C42">
        <w:rPr>
          <w:rFonts w:ascii="Garamond" w:hAnsi="Garamond"/>
          <w:i/>
          <w:sz w:val="25"/>
          <w:szCs w:val="25"/>
        </w:rPr>
        <w:t>accidit</w:t>
      </w:r>
      <w:proofErr w:type="spellEnd"/>
      <w:r w:rsidR="00000272">
        <w:rPr>
          <w:rFonts w:ascii="Garamond" w:hAnsi="Garamond"/>
          <w:sz w:val="25"/>
          <w:szCs w:val="25"/>
        </w:rPr>
        <w:t xml:space="preserve"> (ed invero, già prima dell’intervento normativo di cui alla legge n. 92/2012 </w:t>
      </w:r>
      <w:r w:rsidRPr="00CB4C42">
        <w:rPr>
          <w:rFonts w:ascii="Garamond" w:hAnsi="Garamond"/>
          <w:sz w:val="25"/>
          <w:szCs w:val="25"/>
        </w:rPr>
        <w:t>era possibile veder</w:t>
      </w:r>
      <w:r w:rsidR="00000272">
        <w:rPr>
          <w:rFonts w:ascii="Garamond" w:hAnsi="Garamond"/>
          <w:sz w:val="25"/>
          <w:szCs w:val="25"/>
        </w:rPr>
        <w:t>e</w:t>
      </w:r>
      <w:r w:rsidRPr="00CB4C42">
        <w:rPr>
          <w:rFonts w:ascii="Garamond" w:hAnsi="Garamond"/>
          <w:sz w:val="25"/>
          <w:szCs w:val="25"/>
        </w:rPr>
        <w:t xml:space="preserve"> applicata la disciplina del lavoro subordinato</w:t>
      </w:r>
      <w:r w:rsidR="006C2478" w:rsidRPr="00CB4C42">
        <w:rPr>
          <w:rFonts w:ascii="Garamond" w:hAnsi="Garamond"/>
          <w:sz w:val="25"/>
          <w:szCs w:val="25"/>
        </w:rPr>
        <w:t xml:space="preserve"> a chi per due anni avesse emesso solamente 2</w:t>
      </w:r>
      <w:r w:rsidR="00000272">
        <w:rPr>
          <w:rFonts w:ascii="Garamond" w:hAnsi="Garamond"/>
          <w:sz w:val="25"/>
          <w:szCs w:val="25"/>
        </w:rPr>
        <w:t>2</w:t>
      </w:r>
      <w:r w:rsidR="006C2478" w:rsidRPr="00CB4C42">
        <w:rPr>
          <w:rFonts w:ascii="Garamond" w:hAnsi="Garamond"/>
          <w:sz w:val="25"/>
          <w:szCs w:val="25"/>
        </w:rPr>
        <w:t xml:space="preserve"> fatture</w:t>
      </w:r>
      <w:r w:rsidR="00AB76AA">
        <w:rPr>
          <w:rFonts w:ascii="Garamond" w:hAnsi="Garamond"/>
          <w:sz w:val="25"/>
          <w:szCs w:val="25"/>
        </w:rPr>
        <w:t>, ad intervalli</w:t>
      </w:r>
      <w:r w:rsidR="00000272">
        <w:rPr>
          <w:rFonts w:ascii="Garamond" w:hAnsi="Garamond"/>
          <w:sz w:val="25"/>
          <w:szCs w:val="25"/>
        </w:rPr>
        <w:t xml:space="preserve"> mensili</w:t>
      </w:r>
      <w:r w:rsidR="006C2478" w:rsidRPr="00CB4C42">
        <w:rPr>
          <w:rFonts w:ascii="Garamond" w:hAnsi="Garamond"/>
          <w:sz w:val="25"/>
          <w:szCs w:val="25"/>
        </w:rPr>
        <w:t xml:space="preserve"> </w:t>
      </w:r>
      <w:r w:rsidR="00AB76AA">
        <w:rPr>
          <w:rFonts w:ascii="Garamond" w:hAnsi="Garamond"/>
          <w:sz w:val="25"/>
          <w:szCs w:val="25"/>
        </w:rPr>
        <w:t xml:space="preserve">e </w:t>
      </w:r>
      <w:r w:rsidR="006C2478" w:rsidRPr="00CB4C42">
        <w:rPr>
          <w:rFonts w:ascii="Garamond" w:hAnsi="Garamond"/>
          <w:sz w:val="25"/>
          <w:szCs w:val="25"/>
        </w:rPr>
        <w:t>in regime di mono-committenza</w:t>
      </w:r>
      <w:r w:rsidRPr="00CB4C42">
        <w:rPr>
          <w:rFonts w:ascii="Garamond" w:hAnsi="Garamond"/>
          <w:sz w:val="25"/>
          <w:szCs w:val="25"/>
        </w:rPr>
        <w:t>).</w:t>
      </w:r>
    </w:p>
    <w:p w:rsidR="00741DFC" w:rsidRPr="00CB4C42" w:rsidRDefault="003956E0" w:rsidP="003956E0">
      <w:pPr>
        <w:ind w:right="424" w:firstLine="709"/>
        <w:jc w:val="both"/>
        <w:rPr>
          <w:rFonts w:ascii="Garamond" w:hAnsi="Garamond"/>
          <w:sz w:val="25"/>
          <w:szCs w:val="25"/>
        </w:rPr>
      </w:pPr>
      <w:r w:rsidRPr="00CB4C42">
        <w:rPr>
          <w:rFonts w:ascii="Garamond" w:hAnsi="Garamond"/>
          <w:sz w:val="25"/>
          <w:szCs w:val="25"/>
        </w:rPr>
        <w:t xml:space="preserve">Resta da vedere, prima di concludere per la sostanziale irrilevanza della norma che si commenta, se è possibile </w:t>
      </w:r>
      <w:r w:rsidR="006C2478" w:rsidRPr="00CB4C42">
        <w:rPr>
          <w:rFonts w:ascii="Garamond" w:hAnsi="Garamond"/>
          <w:sz w:val="25"/>
          <w:szCs w:val="25"/>
        </w:rPr>
        <w:t xml:space="preserve">allora </w:t>
      </w:r>
      <w:r w:rsidRPr="00CB4C42">
        <w:rPr>
          <w:rFonts w:ascii="Garamond" w:hAnsi="Garamond"/>
          <w:sz w:val="25"/>
          <w:szCs w:val="25"/>
        </w:rPr>
        <w:t xml:space="preserve">stipulare </w:t>
      </w:r>
      <w:r w:rsidR="006C2478" w:rsidRPr="00CB4C42">
        <w:rPr>
          <w:rFonts w:ascii="Garamond" w:hAnsi="Garamond"/>
          <w:sz w:val="25"/>
          <w:szCs w:val="25"/>
        </w:rPr>
        <w:t>anche contratti di collaborazione coordinata e continuativa</w:t>
      </w:r>
      <w:r w:rsidRPr="00CB4C42">
        <w:rPr>
          <w:rFonts w:ascii="Garamond" w:hAnsi="Garamond"/>
          <w:sz w:val="25"/>
          <w:szCs w:val="25"/>
        </w:rPr>
        <w:t xml:space="preserve">: </w:t>
      </w:r>
      <w:r w:rsidR="00AB76AA">
        <w:rPr>
          <w:rFonts w:ascii="Garamond" w:hAnsi="Garamond"/>
          <w:sz w:val="25"/>
          <w:szCs w:val="25"/>
        </w:rPr>
        <w:t xml:space="preserve">la risposta </w:t>
      </w:r>
      <w:r w:rsidR="00AB76AA" w:rsidRPr="00CB4C42">
        <w:rPr>
          <w:rFonts w:ascii="Garamond" w:hAnsi="Garamond"/>
          <w:sz w:val="25"/>
          <w:szCs w:val="25"/>
        </w:rPr>
        <w:t>non può che essere positiva</w:t>
      </w:r>
      <w:r w:rsidR="00AB76AA" w:rsidRPr="00AB76AA">
        <w:rPr>
          <w:rFonts w:ascii="Garamond" w:hAnsi="Garamond"/>
          <w:sz w:val="25"/>
          <w:szCs w:val="25"/>
        </w:rPr>
        <w:t xml:space="preserve"> </w:t>
      </w:r>
      <w:r w:rsidR="00AB76AA" w:rsidRPr="00CB4C42">
        <w:rPr>
          <w:rFonts w:ascii="Garamond" w:hAnsi="Garamond"/>
          <w:sz w:val="25"/>
          <w:szCs w:val="25"/>
        </w:rPr>
        <w:t>per i motivi di cui sopra si è detto in ordine all’autonomia negoziale</w:t>
      </w:r>
      <w:r w:rsidR="00AB76AA">
        <w:rPr>
          <w:rFonts w:ascii="Garamond" w:hAnsi="Garamond"/>
          <w:sz w:val="25"/>
          <w:szCs w:val="25"/>
        </w:rPr>
        <w:t>,</w:t>
      </w:r>
      <w:r w:rsidR="00AB76AA" w:rsidRPr="00CB4C42">
        <w:rPr>
          <w:rFonts w:ascii="Garamond" w:hAnsi="Garamond"/>
          <w:sz w:val="25"/>
          <w:szCs w:val="25"/>
        </w:rPr>
        <w:t xml:space="preserve"> </w:t>
      </w:r>
      <w:r w:rsidR="00AB76AA" w:rsidRPr="00AB76AA">
        <w:rPr>
          <w:rFonts w:ascii="Garamond" w:hAnsi="Garamond"/>
          <w:sz w:val="25"/>
          <w:szCs w:val="25"/>
        </w:rPr>
        <w:t xml:space="preserve">a fronte della confermata vigenza dell’art. 409 </w:t>
      </w:r>
      <w:proofErr w:type="spellStart"/>
      <w:r w:rsidR="00AB76AA" w:rsidRPr="00AB76AA">
        <w:rPr>
          <w:rFonts w:ascii="Garamond" w:hAnsi="Garamond"/>
          <w:sz w:val="25"/>
          <w:szCs w:val="25"/>
        </w:rPr>
        <w:t>c.p.c.</w:t>
      </w:r>
      <w:proofErr w:type="spellEnd"/>
      <w:r w:rsidR="00AB76AA" w:rsidRPr="00AB76AA">
        <w:rPr>
          <w:rFonts w:ascii="Garamond" w:hAnsi="Garamond"/>
          <w:sz w:val="25"/>
          <w:szCs w:val="25"/>
        </w:rPr>
        <w:t xml:space="preserve"> </w:t>
      </w:r>
      <w:r w:rsidR="00AB76AA">
        <w:rPr>
          <w:rFonts w:ascii="Garamond" w:hAnsi="Garamond"/>
          <w:sz w:val="25"/>
          <w:szCs w:val="25"/>
        </w:rPr>
        <w:t>(</w:t>
      </w:r>
      <w:r w:rsidR="00AB76AA" w:rsidRPr="00AB76AA">
        <w:rPr>
          <w:rFonts w:ascii="Garamond" w:hAnsi="Garamond"/>
          <w:sz w:val="25"/>
          <w:szCs w:val="25"/>
        </w:rPr>
        <w:t xml:space="preserve">art. 52.2 d. </w:t>
      </w:r>
      <w:proofErr w:type="spellStart"/>
      <w:r w:rsidR="00AB76AA" w:rsidRPr="00AB76AA">
        <w:rPr>
          <w:rFonts w:ascii="Garamond" w:hAnsi="Garamond"/>
          <w:sz w:val="25"/>
          <w:szCs w:val="25"/>
        </w:rPr>
        <w:t>lgs</w:t>
      </w:r>
      <w:proofErr w:type="spellEnd"/>
      <w:r w:rsidR="00AB76AA" w:rsidRPr="00AB76AA">
        <w:rPr>
          <w:rFonts w:ascii="Garamond" w:hAnsi="Garamond"/>
          <w:sz w:val="25"/>
          <w:szCs w:val="25"/>
        </w:rPr>
        <w:t>. n. 81/2015</w:t>
      </w:r>
      <w:r w:rsidR="00AB76AA">
        <w:rPr>
          <w:rFonts w:ascii="Garamond" w:hAnsi="Garamond"/>
          <w:sz w:val="25"/>
          <w:szCs w:val="25"/>
        </w:rPr>
        <w:t xml:space="preserve">) e al </w:t>
      </w:r>
      <w:r w:rsidRPr="00CB4C42">
        <w:rPr>
          <w:rFonts w:ascii="Garamond" w:hAnsi="Garamond"/>
          <w:sz w:val="25"/>
          <w:szCs w:val="25"/>
        </w:rPr>
        <w:t>ven</w:t>
      </w:r>
      <w:r w:rsidR="00AB76AA">
        <w:rPr>
          <w:rFonts w:ascii="Garamond" w:hAnsi="Garamond"/>
          <w:sz w:val="25"/>
          <w:szCs w:val="25"/>
        </w:rPr>
        <w:t>ir</w:t>
      </w:r>
      <w:r w:rsidRPr="00CB4C42">
        <w:rPr>
          <w:rFonts w:ascii="Garamond" w:hAnsi="Garamond"/>
          <w:sz w:val="25"/>
          <w:szCs w:val="25"/>
        </w:rPr>
        <w:t xml:space="preserve"> meno </w:t>
      </w:r>
      <w:r w:rsidR="00AB76AA">
        <w:rPr>
          <w:rFonts w:ascii="Garamond" w:hAnsi="Garamond"/>
          <w:sz w:val="25"/>
          <w:szCs w:val="25"/>
        </w:rPr>
        <w:t>del divieto di cui all’</w:t>
      </w:r>
      <w:proofErr w:type="spellStart"/>
      <w:r w:rsidR="00AB76AA">
        <w:rPr>
          <w:rFonts w:ascii="Garamond" w:hAnsi="Garamond"/>
          <w:sz w:val="25"/>
          <w:szCs w:val="25"/>
        </w:rPr>
        <w:t>abrog</w:t>
      </w:r>
      <w:proofErr w:type="spellEnd"/>
      <w:r w:rsidR="00AB76AA">
        <w:rPr>
          <w:rFonts w:ascii="Garamond" w:hAnsi="Garamond"/>
          <w:sz w:val="25"/>
          <w:szCs w:val="25"/>
        </w:rPr>
        <w:t>. art. 61</w:t>
      </w:r>
      <w:r w:rsidRPr="00CB4C42">
        <w:rPr>
          <w:rFonts w:ascii="Garamond" w:hAnsi="Garamond"/>
          <w:sz w:val="25"/>
          <w:szCs w:val="25"/>
        </w:rPr>
        <w:t xml:space="preserve"> d. </w:t>
      </w:r>
      <w:proofErr w:type="spellStart"/>
      <w:r w:rsidRPr="00CB4C42">
        <w:rPr>
          <w:rFonts w:ascii="Garamond" w:hAnsi="Garamond"/>
          <w:sz w:val="25"/>
          <w:szCs w:val="25"/>
        </w:rPr>
        <w:t>lgs</w:t>
      </w:r>
      <w:proofErr w:type="spellEnd"/>
      <w:r w:rsidRPr="00CB4C42">
        <w:rPr>
          <w:rFonts w:ascii="Garamond" w:hAnsi="Garamond"/>
          <w:sz w:val="25"/>
          <w:szCs w:val="25"/>
        </w:rPr>
        <w:t xml:space="preserve">. 276/2003, </w:t>
      </w:r>
      <w:r w:rsidR="006C2478" w:rsidRPr="00CB4C42">
        <w:rPr>
          <w:rFonts w:ascii="Garamond" w:hAnsi="Garamond"/>
          <w:sz w:val="25"/>
          <w:szCs w:val="25"/>
        </w:rPr>
        <w:t xml:space="preserve">senza </w:t>
      </w:r>
      <w:r w:rsidR="00AB76AA">
        <w:rPr>
          <w:rFonts w:ascii="Garamond" w:hAnsi="Garamond"/>
          <w:sz w:val="25"/>
          <w:szCs w:val="25"/>
        </w:rPr>
        <w:t xml:space="preserve">che questo sia stato </w:t>
      </w:r>
      <w:r w:rsidR="006C2478" w:rsidRPr="00CB4C42">
        <w:rPr>
          <w:rFonts w:ascii="Garamond" w:hAnsi="Garamond"/>
          <w:sz w:val="25"/>
          <w:szCs w:val="25"/>
        </w:rPr>
        <w:t>rimpiazzato da alcuna differente previsione proibita</w:t>
      </w:r>
      <w:r w:rsidRPr="00CB4C42">
        <w:rPr>
          <w:rFonts w:ascii="Garamond" w:hAnsi="Garamond"/>
          <w:sz w:val="25"/>
          <w:szCs w:val="25"/>
        </w:rPr>
        <w:t>.</w:t>
      </w:r>
    </w:p>
    <w:p w:rsidR="00AB76AA" w:rsidRDefault="00AB76AA" w:rsidP="003956E0">
      <w:pPr>
        <w:ind w:right="424" w:firstLine="709"/>
        <w:jc w:val="both"/>
        <w:rPr>
          <w:rFonts w:ascii="Garamond" w:hAnsi="Garamond"/>
          <w:sz w:val="26"/>
          <w:szCs w:val="26"/>
        </w:rPr>
      </w:pPr>
      <w:r>
        <w:rPr>
          <w:rFonts w:ascii="Garamond" w:hAnsi="Garamond"/>
          <w:sz w:val="26"/>
          <w:szCs w:val="26"/>
        </w:rPr>
        <w:t xml:space="preserve">La soluzione, quindi, alla questione che tanto ha travagliato il legislatore negli ultimi anni andrà rintracciata sia nei benefici contributivi previsti per la stipula di contratti “a tutele crescenti”, sia nella sostanziale sanatoria del pregresso introdotta dall’art. 54 d. </w:t>
      </w:r>
      <w:proofErr w:type="spellStart"/>
      <w:r>
        <w:rPr>
          <w:rFonts w:ascii="Garamond" w:hAnsi="Garamond"/>
          <w:sz w:val="26"/>
          <w:szCs w:val="26"/>
        </w:rPr>
        <w:t>lgs</w:t>
      </w:r>
      <w:proofErr w:type="spellEnd"/>
      <w:r>
        <w:rPr>
          <w:rFonts w:ascii="Garamond" w:hAnsi="Garamond"/>
          <w:sz w:val="26"/>
          <w:szCs w:val="26"/>
        </w:rPr>
        <w:t xml:space="preserve">. n. 81. </w:t>
      </w:r>
    </w:p>
    <w:p w:rsidR="00741DFC" w:rsidRPr="003956E0" w:rsidRDefault="00AB76AA" w:rsidP="003956E0">
      <w:pPr>
        <w:ind w:right="424" w:firstLine="709"/>
        <w:jc w:val="both"/>
        <w:rPr>
          <w:rFonts w:ascii="Garamond" w:hAnsi="Garamond"/>
          <w:sz w:val="26"/>
          <w:szCs w:val="26"/>
        </w:rPr>
      </w:pPr>
      <w:r>
        <w:rPr>
          <w:rFonts w:ascii="Garamond" w:hAnsi="Garamond"/>
          <w:sz w:val="26"/>
          <w:szCs w:val="26"/>
        </w:rPr>
        <w:t>E tanto forse basta, almeno nell’immediato, a tacitare ogni pretesa di sistemazione concettuale della materia.</w:t>
      </w:r>
    </w:p>
    <w:sectPr w:rsidR="00741DFC" w:rsidRPr="003956E0">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299" w:rsidRDefault="00CD3299" w:rsidP="003956E0">
      <w:r>
        <w:separator/>
      </w:r>
    </w:p>
  </w:endnote>
  <w:endnote w:type="continuationSeparator" w:id="0">
    <w:p w:rsidR="00CD3299" w:rsidRDefault="00CD3299" w:rsidP="0039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796780"/>
      <w:docPartObj>
        <w:docPartGallery w:val="Page Numbers (Bottom of Page)"/>
        <w:docPartUnique/>
      </w:docPartObj>
    </w:sdtPr>
    <w:sdtEndPr/>
    <w:sdtContent>
      <w:p w:rsidR="003956E0" w:rsidRDefault="003956E0">
        <w:pPr>
          <w:pStyle w:val="Pidipagina"/>
          <w:jc w:val="center"/>
        </w:pPr>
        <w:r>
          <w:fldChar w:fldCharType="begin"/>
        </w:r>
        <w:r>
          <w:instrText>PAGE   \* MERGEFORMAT</w:instrText>
        </w:r>
        <w:r>
          <w:fldChar w:fldCharType="separate"/>
        </w:r>
        <w:r w:rsidR="00612B71">
          <w:rPr>
            <w:noProof/>
          </w:rPr>
          <w:t>1</w:t>
        </w:r>
        <w:r>
          <w:fldChar w:fldCharType="end"/>
        </w:r>
      </w:p>
    </w:sdtContent>
  </w:sdt>
  <w:p w:rsidR="003956E0" w:rsidRDefault="003956E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299" w:rsidRDefault="00CD3299" w:rsidP="003956E0">
      <w:r>
        <w:separator/>
      </w:r>
    </w:p>
  </w:footnote>
  <w:footnote w:type="continuationSeparator" w:id="0">
    <w:p w:rsidR="00CD3299" w:rsidRDefault="00CD3299" w:rsidP="003956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CB5"/>
    <w:rsid w:val="00000272"/>
    <w:rsid w:val="00157241"/>
    <w:rsid w:val="00302960"/>
    <w:rsid w:val="00304E7F"/>
    <w:rsid w:val="003956E0"/>
    <w:rsid w:val="0047381F"/>
    <w:rsid w:val="005E7F33"/>
    <w:rsid w:val="00612B71"/>
    <w:rsid w:val="006C2478"/>
    <w:rsid w:val="006D631E"/>
    <w:rsid w:val="00741DFC"/>
    <w:rsid w:val="008413D7"/>
    <w:rsid w:val="00A71826"/>
    <w:rsid w:val="00AB76AA"/>
    <w:rsid w:val="00C04A61"/>
    <w:rsid w:val="00CB4C42"/>
    <w:rsid w:val="00CD3299"/>
    <w:rsid w:val="00D57D69"/>
    <w:rsid w:val="00D91A64"/>
    <w:rsid w:val="00DB1CB5"/>
    <w:rsid w:val="00DC178A"/>
    <w:rsid w:val="00DD15C5"/>
    <w:rsid w:val="00FB17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1CB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956E0"/>
    <w:pPr>
      <w:tabs>
        <w:tab w:val="center" w:pos="4819"/>
        <w:tab w:val="right" w:pos="9638"/>
      </w:tabs>
    </w:pPr>
  </w:style>
  <w:style w:type="character" w:customStyle="1" w:styleId="IntestazioneCarattere">
    <w:name w:val="Intestazione Carattere"/>
    <w:basedOn w:val="Carpredefinitoparagrafo"/>
    <w:link w:val="Intestazione"/>
    <w:uiPriority w:val="99"/>
    <w:rsid w:val="003956E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956E0"/>
    <w:pPr>
      <w:tabs>
        <w:tab w:val="center" w:pos="4819"/>
        <w:tab w:val="right" w:pos="9638"/>
      </w:tabs>
    </w:pPr>
  </w:style>
  <w:style w:type="character" w:customStyle="1" w:styleId="PidipaginaCarattere">
    <w:name w:val="Piè di pagina Carattere"/>
    <w:basedOn w:val="Carpredefinitoparagrafo"/>
    <w:link w:val="Pidipagina"/>
    <w:uiPriority w:val="99"/>
    <w:rsid w:val="003956E0"/>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3956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1CB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956E0"/>
    <w:pPr>
      <w:tabs>
        <w:tab w:val="center" w:pos="4819"/>
        <w:tab w:val="right" w:pos="9638"/>
      </w:tabs>
    </w:pPr>
  </w:style>
  <w:style w:type="character" w:customStyle="1" w:styleId="IntestazioneCarattere">
    <w:name w:val="Intestazione Carattere"/>
    <w:basedOn w:val="Carpredefinitoparagrafo"/>
    <w:link w:val="Intestazione"/>
    <w:uiPriority w:val="99"/>
    <w:rsid w:val="003956E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956E0"/>
    <w:pPr>
      <w:tabs>
        <w:tab w:val="center" w:pos="4819"/>
        <w:tab w:val="right" w:pos="9638"/>
      </w:tabs>
    </w:pPr>
  </w:style>
  <w:style w:type="character" w:customStyle="1" w:styleId="PidipaginaCarattere">
    <w:name w:val="Piè di pagina Carattere"/>
    <w:basedOn w:val="Carpredefinitoparagrafo"/>
    <w:link w:val="Pidipagina"/>
    <w:uiPriority w:val="99"/>
    <w:rsid w:val="003956E0"/>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395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2191</Words>
  <Characters>12493</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Universita' Cattolica - Milano</Company>
  <LinksUpToDate>false</LinksUpToDate>
  <CharactersWithSpaces>14655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632210</dc:creator>
  <cp:lastModifiedBy>Ferrante Vincenzo</cp:lastModifiedBy>
  <cp:revision>2</cp:revision>
  <dcterms:created xsi:type="dcterms:W3CDTF">2015-10-23T12:42:00Z</dcterms:created>
  <dcterms:modified xsi:type="dcterms:W3CDTF">2015-10-23T12:42:00Z</dcterms:modified>
</cp:coreProperties>
</file>